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2329D451" w:rsidR="00D13829" w:rsidRDefault="0001066C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 xml:space="preserve">Boże Narodzenie </w:t>
      </w:r>
      <w:r w:rsidR="00D13829">
        <w:rPr>
          <w:sz w:val="22"/>
          <w:szCs w:val="22"/>
        </w:rPr>
        <w:t>– opis alternatywny</w:t>
      </w:r>
    </w:p>
    <w:p w14:paraId="219B170F" w14:textId="3F69A9C1" w:rsidR="00D13829" w:rsidRDefault="00571C9F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</w:t>
      </w:r>
      <w:r w:rsidR="00EC2E30">
        <w:rPr>
          <w:sz w:val="19"/>
          <w:szCs w:val="19"/>
        </w:rPr>
        <w:t xml:space="preserve">składa się z dwóch stron i </w:t>
      </w:r>
      <w:r>
        <w:rPr>
          <w:sz w:val="19"/>
          <w:szCs w:val="19"/>
        </w:rPr>
        <w:t>zawiera informacje dotyczące</w:t>
      </w:r>
      <w:r w:rsidR="00D13829">
        <w:rPr>
          <w:sz w:val="19"/>
          <w:szCs w:val="19"/>
        </w:rPr>
        <w:t xml:space="preserve"> </w:t>
      </w:r>
      <w:r w:rsidR="0001066C">
        <w:rPr>
          <w:sz w:val="19"/>
          <w:szCs w:val="19"/>
        </w:rPr>
        <w:t>przeciętne</w:t>
      </w:r>
      <w:r>
        <w:rPr>
          <w:sz w:val="19"/>
          <w:szCs w:val="19"/>
        </w:rPr>
        <w:t>go</w:t>
      </w:r>
      <w:r w:rsidR="0001066C">
        <w:rPr>
          <w:sz w:val="19"/>
          <w:szCs w:val="19"/>
        </w:rPr>
        <w:t xml:space="preserve"> </w:t>
      </w:r>
      <w:r>
        <w:rPr>
          <w:sz w:val="19"/>
          <w:szCs w:val="19"/>
        </w:rPr>
        <w:t>wynagrodzenia</w:t>
      </w:r>
      <w:r w:rsidR="0001066C">
        <w:rPr>
          <w:sz w:val="19"/>
          <w:szCs w:val="19"/>
        </w:rPr>
        <w:t xml:space="preserve"> brutto w sektorze przedsiębiorstw</w:t>
      </w:r>
      <w:r w:rsidR="005E108B">
        <w:rPr>
          <w:sz w:val="19"/>
          <w:szCs w:val="19"/>
        </w:rPr>
        <w:t xml:space="preserve"> w </w:t>
      </w:r>
      <w:r w:rsidR="0001066C">
        <w:rPr>
          <w:sz w:val="19"/>
          <w:szCs w:val="19"/>
        </w:rPr>
        <w:t>m-c listopad</w:t>
      </w:r>
      <w:r w:rsidR="005E108B">
        <w:rPr>
          <w:sz w:val="19"/>
          <w:szCs w:val="19"/>
        </w:rPr>
        <w:t>zie</w:t>
      </w:r>
      <w:r w:rsidR="003D0561">
        <w:rPr>
          <w:sz w:val="19"/>
          <w:szCs w:val="19"/>
        </w:rPr>
        <w:t xml:space="preserve"> 2021</w:t>
      </w:r>
      <w:r w:rsidR="0001066C">
        <w:rPr>
          <w:sz w:val="19"/>
          <w:szCs w:val="19"/>
        </w:rPr>
        <w:t xml:space="preserve"> r. oraz </w:t>
      </w:r>
      <w:r w:rsidR="005E108B">
        <w:rPr>
          <w:sz w:val="19"/>
          <w:szCs w:val="19"/>
        </w:rPr>
        <w:t xml:space="preserve">w m-c </w:t>
      </w:r>
      <w:r w:rsidR="0001066C">
        <w:rPr>
          <w:sz w:val="19"/>
          <w:szCs w:val="19"/>
        </w:rPr>
        <w:t>listopad</w:t>
      </w:r>
      <w:r w:rsidR="005E108B">
        <w:rPr>
          <w:sz w:val="19"/>
          <w:szCs w:val="19"/>
        </w:rPr>
        <w:t>zie</w:t>
      </w:r>
      <w:r w:rsidR="003D0561">
        <w:rPr>
          <w:sz w:val="19"/>
          <w:szCs w:val="19"/>
        </w:rPr>
        <w:t xml:space="preserve"> 2020</w:t>
      </w:r>
      <w:r w:rsidR="0001066C">
        <w:rPr>
          <w:sz w:val="19"/>
          <w:szCs w:val="19"/>
        </w:rPr>
        <w:t xml:space="preserve"> r., </w:t>
      </w:r>
      <w:r w:rsidR="00C90C06">
        <w:rPr>
          <w:sz w:val="19"/>
          <w:szCs w:val="19"/>
        </w:rPr>
        <w:t xml:space="preserve">zmiany </w:t>
      </w:r>
      <w:r w:rsidR="0001066C">
        <w:rPr>
          <w:sz w:val="19"/>
          <w:szCs w:val="19"/>
        </w:rPr>
        <w:t>procentowe sprzedaży detalicznej (w cenach bieżących) według wybranego rodzaju działalność</w:t>
      </w:r>
      <w:r>
        <w:rPr>
          <w:sz w:val="19"/>
          <w:szCs w:val="19"/>
        </w:rPr>
        <w:t xml:space="preserve">, zmianę procentową sprzedaży hurtowej </w:t>
      </w:r>
      <w:r w:rsidR="003D0561" w:rsidRPr="00A54902">
        <w:rPr>
          <w:sz w:val="19"/>
          <w:szCs w:val="19"/>
        </w:rPr>
        <w:t xml:space="preserve">(w cenach bieżących) </w:t>
      </w:r>
      <w:r w:rsidR="003D0561">
        <w:rPr>
          <w:sz w:val="19"/>
          <w:szCs w:val="19"/>
        </w:rPr>
        <w:t>w przedsiębiorstwach handlowych (listopad 2021</w:t>
      </w:r>
      <w:r>
        <w:rPr>
          <w:sz w:val="19"/>
          <w:szCs w:val="19"/>
        </w:rPr>
        <w:t xml:space="preserve"> r. do analogicznego okresu roku poprzedniego) </w:t>
      </w:r>
      <w:r w:rsidR="0001066C">
        <w:rPr>
          <w:sz w:val="19"/>
          <w:szCs w:val="19"/>
        </w:rPr>
        <w:t>oraz zmiany procentowe produkcji sprzedanej przemysłu</w:t>
      </w:r>
      <w:r w:rsidR="00925A40">
        <w:rPr>
          <w:sz w:val="19"/>
          <w:szCs w:val="19"/>
        </w:rPr>
        <w:t xml:space="preserve"> </w:t>
      </w:r>
      <w:r w:rsidR="0001066C">
        <w:rPr>
          <w:sz w:val="19"/>
          <w:szCs w:val="19"/>
        </w:rPr>
        <w:t>(w cenach stałych)</w:t>
      </w:r>
      <w:r>
        <w:rPr>
          <w:sz w:val="19"/>
          <w:szCs w:val="19"/>
        </w:rPr>
        <w:t xml:space="preserve"> wg wybr</w:t>
      </w:r>
      <w:r w:rsidR="003D0561">
        <w:rPr>
          <w:sz w:val="19"/>
          <w:szCs w:val="19"/>
        </w:rPr>
        <w:t>anych działów PKD (listopad 2021</w:t>
      </w:r>
      <w:r>
        <w:rPr>
          <w:sz w:val="19"/>
          <w:szCs w:val="19"/>
        </w:rPr>
        <w:t xml:space="preserve"> r. do analogicznego okresu roku poprzedniego) dla</w:t>
      </w:r>
      <w:r w:rsidR="00A657BC">
        <w:rPr>
          <w:sz w:val="19"/>
          <w:szCs w:val="19"/>
        </w:rPr>
        <w:t xml:space="preserve"> m.st. Warszawy.</w:t>
      </w:r>
      <w:r w:rsidR="00C658F0">
        <w:rPr>
          <w:sz w:val="19"/>
          <w:szCs w:val="19"/>
        </w:rPr>
        <w:t xml:space="preserve"> 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6A0675DB" w:rsidR="00D13829" w:rsidRDefault="0001066C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Boże Narodzenie; M.st. Warszawa</w:t>
      </w:r>
      <w:r w:rsidR="00C658F0">
        <w:rPr>
          <w:sz w:val="19"/>
          <w:szCs w:val="19"/>
        </w:rPr>
        <w:t xml:space="preserve"> </w:t>
      </w:r>
    </w:p>
    <w:p w14:paraId="3E4D5A20" w14:textId="53A21BD1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Logotyp Urzędu Statystycznego w Warszawie przedstawiający dwa okręgi nachodzące na siebie pionowo znajduje się u góry strony po prawej wraz z adresami strony internetowej </w:t>
      </w:r>
      <w:hyperlink r:id="rId4" w:history="1">
        <w:r w:rsidRPr="00432D25">
          <w:rPr>
            <w:rStyle w:val="Hipercze"/>
            <w:sz w:val="19"/>
            <w:szCs w:val="19"/>
          </w:rPr>
          <w:t>https://warszawa.stat.gov.pl</w:t>
        </w:r>
      </w:hyperlink>
      <w:r>
        <w:rPr>
          <w:sz w:val="19"/>
          <w:szCs w:val="19"/>
        </w:rPr>
        <w:t xml:space="preserve"> i kontami do </w:t>
      </w:r>
      <w:r w:rsidR="00432D25" w:rsidRPr="00432D25">
        <w:rPr>
          <w:sz w:val="19"/>
          <w:szCs w:val="19"/>
        </w:rPr>
        <w:t>Twittera</w:t>
      </w:r>
      <w:r>
        <w:rPr>
          <w:sz w:val="19"/>
          <w:szCs w:val="19"/>
        </w:rPr>
        <w:t xml:space="preserve"> </w:t>
      </w:r>
      <w:hyperlink r:id="rId5" w:history="1">
        <w:r w:rsidRPr="00432D25">
          <w:rPr>
            <w:rStyle w:val="Hipercze"/>
            <w:sz w:val="19"/>
            <w:szCs w:val="19"/>
          </w:rPr>
          <w:t>@Warszawa_STAT</w:t>
        </w:r>
      </w:hyperlink>
    </w:p>
    <w:p w14:paraId="644D9C14" w14:textId="0D11FE71" w:rsidR="003D0561" w:rsidRDefault="00EC2E30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pierwszej stronie u góry,</w:t>
      </w:r>
      <w:r w:rsidR="00571C9F">
        <w:rPr>
          <w:sz w:val="19"/>
          <w:szCs w:val="19"/>
        </w:rPr>
        <w:t xml:space="preserve"> </w:t>
      </w:r>
      <w:r w:rsidR="005E108B">
        <w:rPr>
          <w:sz w:val="19"/>
          <w:szCs w:val="19"/>
        </w:rPr>
        <w:t>za pomocą</w:t>
      </w:r>
      <w:r w:rsidR="00910895">
        <w:rPr>
          <w:sz w:val="19"/>
          <w:szCs w:val="19"/>
        </w:rPr>
        <w:t xml:space="preserve"> </w:t>
      </w:r>
      <w:r w:rsidR="0058510C">
        <w:rPr>
          <w:sz w:val="19"/>
          <w:szCs w:val="19"/>
        </w:rPr>
        <w:t>clip</w:t>
      </w:r>
      <w:r w:rsidR="005E108B">
        <w:rPr>
          <w:sz w:val="19"/>
          <w:szCs w:val="19"/>
        </w:rPr>
        <w:t xml:space="preserve">artów </w:t>
      </w:r>
      <w:r w:rsidR="00571C9F">
        <w:rPr>
          <w:sz w:val="19"/>
          <w:szCs w:val="19"/>
        </w:rPr>
        <w:t xml:space="preserve">pokazano przeciętne wynagrodzenie brutto w sektorze przedsiębiorstw; po lewej stronie </w:t>
      </w:r>
      <w:r w:rsidR="00AA48DB">
        <w:rPr>
          <w:sz w:val="19"/>
          <w:szCs w:val="19"/>
        </w:rPr>
        <w:t xml:space="preserve">przeciętne wynagrodzenie </w:t>
      </w:r>
      <w:r w:rsidR="003D0561">
        <w:rPr>
          <w:sz w:val="19"/>
          <w:szCs w:val="19"/>
        </w:rPr>
        <w:t>w listopadzie 2020 r. (6608,42</w:t>
      </w:r>
      <w:r w:rsidR="00571C9F">
        <w:rPr>
          <w:sz w:val="19"/>
          <w:szCs w:val="19"/>
        </w:rPr>
        <w:t xml:space="preserve"> zł), po prawej </w:t>
      </w:r>
      <w:r w:rsidR="003D0561">
        <w:rPr>
          <w:sz w:val="19"/>
          <w:szCs w:val="19"/>
        </w:rPr>
        <w:t>w listopadzie 2021 r. (7249,21</w:t>
      </w:r>
      <w:r w:rsidR="00571C9F">
        <w:rPr>
          <w:sz w:val="19"/>
          <w:szCs w:val="19"/>
        </w:rPr>
        <w:t xml:space="preserve"> zł). </w:t>
      </w:r>
    </w:p>
    <w:p w14:paraId="2D92DDD0" w14:textId="66CB6968" w:rsidR="003D0561" w:rsidRDefault="003D0561" w:rsidP="003D0561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Pod spodem za pomocą grafiki i clipartów zaprezentowano zmiany procentowe sprzedaży detalicznej</w:t>
      </w:r>
      <w:r w:rsidR="00925A40">
        <w:rPr>
          <w:sz w:val="19"/>
          <w:szCs w:val="19"/>
        </w:rPr>
        <w:t xml:space="preserve"> </w:t>
      </w:r>
      <w:r>
        <w:rPr>
          <w:sz w:val="19"/>
          <w:szCs w:val="19"/>
        </w:rPr>
        <w:t>(w cenach bieżących) według wybranego rodzaju działalność; za pomocą strzałek pokazano wzrost/spadek dla wybranego rodzaju działalności. Od lewej strony; ogółem (znacznik gwiazdka) - wzrost o 24,2%, paliwa, stałe ciekłe i gazowe – wzrost o 51,5%, sprzedaż hurtowa</w:t>
      </w:r>
      <w:r w:rsidRPr="00A54902">
        <w:t xml:space="preserve"> </w:t>
      </w:r>
      <w:r w:rsidRPr="00A54902">
        <w:rPr>
          <w:sz w:val="19"/>
          <w:szCs w:val="19"/>
        </w:rPr>
        <w:t xml:space="preserve">(w cenach bieżących) w przedsiębiorstwach handlowych </w:t>
      </w:r>
      <w:r>
        <w:rPr>
          <w:sz w:val="19"/>
          <w:szCs w:val="19"/>
        </w:rPr>
        <w:t xml:space="preserve">(listopad 2021 r. do analogicznego okresu oku poprzedniego) – wzrost o 14,4%, farmaceutyki, sprzęt ortopedyczny - wzrost o 35,2%, żywność, napoje i wyroby tytoniowe - wzrost o 13,2%, tekstylia, odzież, obuwie - wzrost o 99,7%, meble, RTV, AGD - wzrost o 9,2%. </w:t>
      </w:r>
    </w:p>
    <w:p w14:paraId="7FD54FB4" w14:textId="113AB143" w:rsidR="005E108B" w:rsidRDefault="00EB6995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Pojaśnienie</w:t>
      </w:r>
    </w:p>
    <w:p w14:paraId="2BE83FE7" w14:textId="24979B5E" w:rsidR="00D87CCA" w:rsidRDefault="00AA48DB" w:rsidP="00D13829">
      <w:pPr>
        <w:pStyle w:val="StylStylTekstFiraSans95pktPierwszywiersz0cmPrzed"/>
        <w:rPr>
          <w:rFonts w:cs="Arial"/>
          <w:sz w:val="19"/>
          <w:szCs w:val="19"/>
        </w:rPr>
      </w:pPr>
      <w:r>
        <w:rPr>
          <w:sz w:val="19"/>
          <w:szCs w:val="19"/>
        </w:rPr>
        <w:t>Na dole strony umieszcz</w:t>
      </w:r>
      <w:r w:rsidR="005E108B">
        <w:rPr>
          <w:sz w:val="19"/>
          <w:szCs w:val="19"/>
        </w:rPr>
        <w:t xml:space="preserve">ono omówienie znacznika gwiazda o treści: </w:t>
      </w:r>
      <w:r w:rsidR="00D87CCA" w:rsidRPr="00D87CCA">
        <w:rPr>
          <w:rFonts w:cs="Arial"/>
          <w:sz w:val="19"/>
          <w:szCs w:val="19"/>
        </w:rPr>
        <w:t>Grupowania przedsiębiorstw dokonano na podstawie Polskiej Klasyfikacji Działalności – PKD 2007, zaliczając przedsiębiorstwo do określonej kategorii według przeważającego rodzaju działalności, zgodnie z aktualnym w omawianym okresie stanem organizacyjnym. Odnotowane zmiany (wzrost/spadek) sprzedaży detalicznej w poszczególnych grupach rodzajów działalności przedsiębiorstw mogą zatem również wynikać ze zmiany przeważającego rodzaju działalności przedsiębiorstwa oraz zmian organizacyjnych (np. połączenia przedsiębiorstw). Nie ma to wpływu na dynamikę sprzedaży detalicznej ogółem</w:t>
      </w:r>
      <w:r w:rsidR="00D87CCA">
        <w:rPr>
          <w:rFonts w:cs="Arial"/>
          <w:sz w:val="19"/>
          <w:szCs w:val="19"/>
        </w:rPr>
        <w:t xml:space="preserve">. </w:t>
      </w:r>
    </w:p>
    <w:p w14:paraId="6EC4CE77" w14:textId="65DAD5C8" w:rsidR="005E108B" w:rsidRPr="00E41300" w:rsidRDefault="00D87CCA" w:rsidP="00E41300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>Na drugiej stronie Infografiki Boże Narodzenie</w:t>
      </w:r>
      <w:r w:rsidR="00554D82">
        <w:rPr>
          <w:sz w:val="19"/>
        </w:rPr>
        <w:t>; M.st. Warszawa.</w:t>
      </w:r>
      <w:r>
        <w:rPr>
          <w:sz w:val="19"/>
        </w:rPr>
        <w:t xml:space="preserve"> </w:t>
      </w:r>
      <w:r w:rsidR="00554D82">
        <w:rPr>
          <w:sz w:val="19"/>
        </w:rPr>
        <w:t>Z</w:t>
      </w:r>
      <w:r w:rsidR="005E108B">
        <w:rPr>
          <w:sz w:val="19"/>
        </w:rPr>
        <w:t xml:space="preserve">a </w:t>
      </w:r>
      <w:r w:rsidR="004D6EE0">
        <w:rPr>
          <w:sz w:val="19"/>
        </w:rPr>
        <w:t>pomocą grafiki i clip</w:t>
      </w:r>
      <w:r>
        <w:rPr>
          <w:sz w:val="19"/>
        </w:rPr>
        <w:t>artów zaprezentowano zmiany procentowe produkcji sprzedanej przemys</w:t>
      </w:r>
      <w:r w:rsidR="005E108B">
        <w:rPr>
          <w:sz w:val="19"/>
        </w:rPr>
        <w:t>łu</w:t>
      </w:r>
      <w:r>
        <w:rPr>
          <w:sz w:val="19"/>
        </w:rPr>
        <w:t xml:space="preserve"> (w cenach stałych) według wybr</w:t>
      </w:r>
      <w:r w:rsidR="003D0561">
        <w:rPr>
          <w:sz w:val="19"/>
        </w:rPr>
        <w:t>anych działów PKD (listopad 2021</w:t>
      </w:r>
      <w:r>
        <w:rPr>
          <w:sz w:val="19"/>
        </w:rPr>
        <w:t xml:space="preserve"> r. do analogicznego </w:t>
      </w:r>
      <w:r w:rsidR="005E108B">
        <w:rPr>
          <w:sz w:val="19"/>
        </w:rPr>
        <w:t>o</w:t>
      </w:r>
      <w:r>
        <w:rPr>
          <w:sz w:val="19"/>
        </w:rPr>
        <w:t xml:space="preserve">kresu roku poprzedniego); za pomocą strzałek pokazano wzrost/spadek dla wybranego rodzaju działalności. </w:t>
      </w:r>
      <w:r w:rsidR="003D0561">
        <w:rPr>
          <w:sz w:val="19"/>
        </w:rPr>
        <w:t>O</w:t>
      </w:r>
      <w:bookmarkStart w:id="0" w:name="_GoBack"/>
      <w:bookmarkEnd w:id="0"/>
      <w:r w:rsidR="003D0561">
        <w:rPr>
          <w:sz w:val="19"/>
        </w:rPr>
        <w:t>gółem - wzrost o 26,4</w:t>
      </w:r>
      <w:r w:rsidR="005E108B">
        <w:rPr>
          <w:sz w:val="19"/>
        </w:rPr>
        <w:t>%, p</w:t>
      </w:r>
      <w:r>
        <w:rPr>
          <w:sz w:val="19"/>
        </w:rPr>
        <w:t xml:space="preserve">rodukcja </w:t>
      </w:r>
      <w:r w:rsidR="003D0561">
        <w:rPr>
          <w:sz w:val="19"/>
        </w:rPr>
        <w:t>napojów - wzrost o 30,1</w:t>
      </w:r>
      <w:r>
        <w:rPr>
          <w:sz w:val="19"/>
        </w:rPr>
        <w:t xml:space="preserve">%, produkcja artykułów spożywczych </w:t>
      </w:r>
      <w:r w:rsidR="005E108B">
        <w:rPr>
          <w:sz w:val="19"/>
        </w:rPr>
        <w:t xml:space="preserve">- </w:t>
      </w:r>
      <w:r w:rsidR="003D0561">
        <w:rPr>
          <w:sz w:val="19"/>
        </w:rPr>
        <w:t>spadek o 4,2</w:t>
      </w:r>
      <w:r>
        <w:rPr>
          <w:sz w:val="19"/>
        </w:rPr>
        <w:t xml:space="preserve">%, produkcja komputerów, wyrobów elektronicznych i </w:t>
      </w:r>
      <w:r w:rsidR="003D0561">
        <w:rPr>
          <w:sz w:val="19"/>
        </w:rPr>
        <w:t>optycznych - spadek o 13,8</w:t>
      </w:r>
      <w:r w:rsidR="005E108B">
        <w:rPr>
          <w:sz w:val="19"/>
        </w:rPr>
        <w:t>%,</w:t>
      </w:r>
      <w:r>
        <w:rPr>
          <w:sz w:val="19"/>
        </w:rPr>
        <w:t xml:space="preserve"> </w:t>
      </w:r>
      <w:r w:rsidR="005E108B">
        <w:rPr>
          <w:sz w:val="19"/>
        </w:rPr>
        <w:t>produkcja</w:t>
      </w:r>
      <w:r>
        <w:rPr>
          <w:sz w:val="19"/>
        </w:rPr>
        <w:t xml:space="preserve"> </w:t>
      </w:r>
      <w:r w:rsidR="005E108B">
        <w:rPr>
          <w:sz w:val="19"/>
        </w:rPr>
        <w:t>podstawowych</w:t>
      </w:r>
      <w:r>
        <w:rPr>
          <w:sz w:val="19"/>
        </w:rPr>
        <w:t xml:space="preserve"> substancji farmaceutycznych oraz leków i pozostałych wyrobów farmaceutycznych </w:t>
      </w:r>
      <w:r w:rsidR="005E108B">
        <w:rPr>
          <w:sz w:val="19"/>
        </w:rPr>
        <w:t xml:space="preserve">- </w:t>
      </w:r>
      <w:r w:rsidR="003D0561">
        <w:rPr>
          <w:sz w:val="19"/>
        </w:rPr>
        <w:t>spadek o 2,8</w:t>
      </w:r>
      <w:r>
        <w:rPr>
          <w:sz w:val="19"/>
        </w:rPr>
        <w:t xml:space="preserve">%, produkcja odzieży </w:t>
      </w:r>
      <w:r w:rsidR="005E108B">
        <w:rPr>
          <w:sz w:val="19"/>
        </w:rPr>
        <w:t xml:space="preserve">- </w:t>
      </w:r>
      <w:r w:rsidR="003D0561">
        <w:rPr>
          <w:sz w:val="19"/>
        </w:rPr>
        <w:t>wzrost o 22,4</w:t>
      </w:r>
      <w:r>
        <w:rPr>
          <w:sz w:val="19"/>
        </w:rPr>
        <w:t xml:space="preserve">%, produkcja tekstyliów </w:t>
      </w:r>
      <w:r w:rsidR="003D0561">
        <w:rPr>
          <w:sz w:val="19"/>
        </w:rPr>
        <w:t>- wzrost o 11,6</w:t>
      </w:r>
      <w:r w:rsidR="005E108B">
        <w:rPr>
          <w:sz w:val="19"/>
        </w:rPr>
        <w:t>%.</w:t>
      </w:r>
      <w:r w:rsidR="00E41300">
        <w:rPr>
          <w:sz w:val="19"/>
        </w:rPr>
        <w:t xml:space="preserve"> </w:t>
      </w:r>
      <w:hyperlink r:id="rId6" w:history="1">
        <w:r w:rsidR="00E41300" w:rsidRPr="00500135">
          <w:rPr>
            <w:rStyle w:val="Hipercze"/>
            <w:sz w:val="19"/>
          </w:rPr>
          <w:t>Link do arkusza z danymi w formacie Excel</w:t>
        </w:r>
      </w:hyperlink>
    </w:p>
    <w:p w14:paraId="62FE72EE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3BF3DAE0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925A40">
        <w:rPr>
          <w:sz w:val="19"/>
          <w:szCs w:val="19"/>
        </w:rPr>
        <w:t xml:space="preserve"> </w:t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Pr="009F3D5E" w:rsidRDefault="00D13829" w:rsidP="00D13829">
      <w:pPr>
        <w:pStyle w:val="opisalternatywnyII"/>
      </w:pPr>
      <w:r w:rsidRPr="009F3D5E">
        <w:t>Przy publikowaniu danych US prosimy o podanie źródła</w:t>
      </w:r>
    </w:p>
    <w:p w14:paraId="7E3BE9EA" w14:textId="6EE6DE3A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09F0"/>
    <w:rsid w:val="00002B34"/>
    <w:rsid w:val="00005D77"/>
    <w:rsid w:val="000077AB"/>
    <w:rsid w:val="0001066C"/>
    <w:rsid w:val="000149C9"/>
    <w:rsid w:val="00024225"/>
    <w:rsid w:val="000242C9"/>
    <w:rsid w:val="000277CF"/>
    <w:rsid w:val="00036C97"/>
    <w:rsid w:val="00037A99"/>
    <w:rsid w:val="0004147E"/>
    <w:rsid w:val="00047FF5"/>
    <w:rsid w:val="000530BB"/>
    <w:rsid w:val="00053486"/>
    <w:rsid w:val="00053E9F"/>
    <w:rsid w:val="00061D56"/>
    <w:rsid w:val="000666BF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A746C"/>
    <w:rsid w:val="000B1E87"/>
    <w:rsid w:val="000B7350"/>
    <w:rsid w:val="000C3EB7"/>
    <w:rsid w:val="000C3EF3"/>
    <w:rsid w:val="000E6BA0"/>
    <w:rsid w:val="000E6DA4"/>
    <w:rsid w:val="000F0C8C"/>
    <w:rsid w:val="000F5D77"/>
    <w:rsid w:val="000F68ED"/>
    <w:rsid w:val="000F708C"/>
    <w:rsid w:val="000F7258"/>
    <w:rsid w:val="00103779"/>
    <w:rsid w:val="00104AC6"/>
    <w:rsid w:val="00117695"/>
    <w:rsid w:val="00123B4E"/>
    <w:rsid w:val="00124DF0"/>
    <w:rsid w:val="001372FC"/>
    <w:rsid w:val="00137ECE"/>
    <w:rsid w:val="00141345"/>
    <w:rsid w:val="00145351"/>
    <w:rsid w:val="0015176A"/>
    <w:rsid w:val="00157418"/>
    <w:rsid w:val="00167FE4"/>
    <w:rsid w:val="00176F3B"/>
    <w:rsid w:val="0019023B"/>
    <w:rsid w:val="00193F11"/>
    <w:rsid w:val="001A2CAA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201190"/>
    <w:rsid w:val="00203A94"/>
    <w:rsid w:val="002119AE"/>
    <w:rsid w:val="00212344"/>
    <w:rsid w:val="00217127"/>
    <w:rsid w:val="002216AE"/>
    <w:rsid w:val="002219D4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6DA8"/>
    <w:rsid w:val="002C1FF2"/>
    <w:rsid w:val="002C39A9"/>
    <w:rsid w:val="002C3EB2"/>
    <w:rsid w:val="002C7014"/>
    <w:rsid w:val="002D10FA"/>
    <w:rsid w:val="002D1DA6"/>
    <w:rsid w:val="002D1FC1"/>
    <w:rsid w:val="002D647B"/>
    <w:rsid w:val="002E272C"/>
    <w:rsid w:val="002F0151"/>
    <w:rsid w:val="002F1CA6"/>
    <w:rsid w:val="002F517A"/>
    <w:rsid w:val="00310C68"/>
    <w:rsid w:val="00316E3B"/>
    <w:rsid w:val="003213BF"/>
    <w:rsid w:val="0032286D"/>
    <w:rsid w:val="00351218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0561"/>
    <w:rsid w:val="003D5117"/>
    <w:rsid w:val="003E0EAA"/>
    <w:rsid w:val="003E2CE6"/>
    <w:rsid w:val="003E5639"/>
    <w:rsid w:val="003F1323"/>
    <w:rsid w:val="003F51F7"/>
    <w:rsid w:val="0040282F"/>
    <w:rsid w:val="004060CA"/>
    <w:rsid w:val="004177DF"/>
    <w:rsid w:val="00432494"/>
    <w:rsid w:val="00432D25"/>
    <w:rsid w:val="00433B46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646D"/>
    <w:rsid w:val="004C3370"/>
    <w:rsid w:val="004C35AC"/>
    <w:rsid w:val="004C4222"/>
    <w:rsid w:val="004C453D"/>
    <w:rsid w:val="004C6F2F"/>
    <w:rsid w:val="004D6EE0"/>
    <w:rsid w:val="004D7ED9"/>
    <w:rsid w:val="004E29C7"/>
    <w:rsid w:val="004F1AD1"/>
    <w:rsid w:val="004F4E99"/>
    <w:rsid w:val="00500135"/>
    <w:rsid w:val="00500450"/>
    <w:rsid w:val="00502926"/>
    <w:rsid w:val="0051113F"/>
    <w:rsid w:val="00517511"/>
    <w:rsid w:val="00521451"/>
    <w:rsid w:val="0052290D"/>
    <w:rsid w:val="00523708"/>
    <w:rsid w:val="005341EA"/>
    <w:rsid w:val="005342FE"/>
    <w:rsid w:val="00537851"/>
    <w:rsid w:val="005470C1"/>
    <w:rsid w:val="0055175E"/>
    <w:rsid w:val="0055426E"/>
    <w:rsid w:val="00554D82"/>
    <w:rsid w:val="00571C9F"/>
    <w:rsid w:val="00572914"/>
    <w:rsid w:val="00574F95"/>
    <w:rsid w:val="005774F9"/>
    <w:rsid w:val="005822E6"/>
    <w:rsid w:val="005838F9"/>
    <w:rsid w:val="0058510C"/>
    <w:rsid w:val="005909A8"/>
    <w:rsid w:val="00590DAA"/>
    <w:rsid w:val="00595C60"/>
    <w:rsid w:val="005A03EA"/>
    <w:rsid w:val="005A6182"/>
    <w:rsid w:val="005B073A"/>
    <w:rsid w:val="005D286F"/>
    <w:rsid w:val="005D2CEB"/>
    <w:rsid w:val="005D4655"/>
    <w:rsid w:val="005D699A"/>
    <w:rsid w:val="005D6FDF"/>
    <w:rsid w:val="005E108B"/>
    <w:rsid w:val="005E385A"/>
    <w:rsid w:val="005E3EE5"/>
    <w:rsid w:val="005F182C"/>
    <w:rsid w:val="005F3E87"/>
    <w:rsid w:val="005F73CE"/>
    <w:rsid w:val="0060035E"/>
    <w:rsid w:val="0060196C"/>
    <w:rsid w:val="006047A6"/>
    <w:rsid w:val="00606226"/>
    <w:rsid w:val="00610C19"/>
    <w:rsid w:val="00611E25"/>
    <w:rsid w:val="00612440"/>
    <w:rsid w:val="00616D73"/>
    <w:rsid w:val="0062365E"/>
    <w:rsid w:val="0062408F"/>
    <w:rsid w:val="0062684B"/>
    <w:rsid w:val="006270C4"/>
    <w:rsid w:val="00634B51"/>
    <w:rsid w:val="00635BD4"/>
    <w:rsid w:val="00635F12"/>
    <w:rsid w:val="00636615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AFA"/>
    <w:rsid w:val="006E4985"/>
    <w:rsid w:val="006F0F78"/>
    <w:rsid w:val="006F4E29"/>
    <w:rsid w:val="006F79F2"/>
    <w:rsid w:val="00704472"/>
    <w:rsid w:val="007075E8"/>
    <w:rsid w:val="00712E89"/>
    <w:rsid w:val="007139CA"/>
    <w:rsid w:val="00720247"/>
    <w:rsid w:val="00727ED0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E15FA"/>
    <w:rsid w:val="007F1C18"/>
    <w:rsid w:val="007F3044"/>
    <w:rsid w:val="008021C8"/>
    <w:rsid w:val="00804BF3"/>
    <w:rsid w:val="008111F2"/>
    <w:rsid w:val="00813705"/>
    <w:rsid w:val="0081435D"/>
    <w:rsid w:val="008163B3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620C"/>
    <w:rsid w:val="008E5C9D"/>
    <w:rsid w:val="008E68A7"/>
    <w:rsid w:val="008E6A4F"/>
    <w:rsid w:val="008F6424"/>
    <w:rsid w:val="00901A1E"/>
    <w:rsid w:val="00904652"/>
    <w:rsid w:val="0090726D"/>
    <w:rsid w:val="00910895"/>
    <w:rsid w:val="00924134"/>
    <w:rsid w:val="009248B1"/>
    <w:rsid w:val="00925A40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B74E1"/>
    <w:rsid w:val="009C20AD"/>
    <w:rsid w:val="009C52E5"/>
    <w:rsid w:val="009D2E9C"/>
    <w:rsid w:val="009E089D"/>
    <w:rsid w:val="009E37D6"/>
    <w:rsid w:val="009E7139"/>
    <w:rsid w:val="009F0497"/>
    <w:rsid w:val="009F3D5E"/>
    <w:rsid w:val="009F4032"/>
    <w:rsid w:val="00A000DD"/>
    <w:rsid w:val="00A01E07"/>
    <w:rsid w:val="00A05C9D"/>
    <w:rsid w:val="00A12873"/>
    <w:rsid w:val="00A25DA6"/>
    <w:rsid w:val="00A35361"/>
    <w:rsid w:val="00A47311"/>
    <w:rsid w:val="00A500C6"/>
    <w:rsid w:val="00A655AB"/>
    <w:rsid w:val="00A657BC"/>
    <w:rsid w:val="00A77B66"/>
    <w:rsid w:val="00A82FF6"/>
    <w:rsid w:val="00A86AC1"/>
    <w:rsid w:val="00A91490"/>
    <w:rsid w:val="00A94B35"/>
    <w:rsid w:val="00AA1480"/>
    <w:rsid w:val="00AA48DB"/>
    <w:rsid w:val="00AB0278"/>
    <w:rsid w:val="00AB4CAB"/>
    <w:rsid w:val="00AB61B4"/>
    <w:rsid w:val="00AC601D"/>
    <w:rsid w:val="00AD3840"/>
    <w:rsid w:val="00AD6A5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22957"/>
    <w:rsid w:val="00B22B0E"/>
    <w:rsid w:val="00B32C5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58F0"/>
    <w:rsid w:val="00C664C2"/>
    <w:rsid w:val="00C678BA"/>
    <w:rsid w:val="00C67C64"/>
    <w:rsid w:val="00C71874"/>
    <w:rsid w:val="00C7715E"/>
    <w:rsid w:val="00C83EA5"/>
    <w:rsid w:val="00C90C06"/>
    <w:rsid w:val="00C92D7C"/>
    <w:rsid w:val="00C93A60"/>
    <w:rsid w:val="00CA2EB9"/>
    <w:rsid w:val="00CA738A"/>
    <w:rsid w:val="00CB27F1"/>
    <w:rsid w:val="00CB6BB9"/>
    <w:rsid w:val="00CB7505"/>
    <w:rsid w:val="00CC2231"/>
    <w:rsid w:val="00CC2315"/>
    <w:rsid w:val="00CD5AD6"/>
    <w:rsid w:val="00CD70E6"/>
    <w:rsid w:val="00CF2E41"/>
    <w:rsid w:val="00CF314C"/>
    <w:rsid w:val="00CF7F05"/>
    <w:rsid w:val="00D00454"/>
    <w:rsid w:val="00D0144E"/>
    <w:rsid w:val="00D11802"/>
    <w:rsid w:val="00D13829"/>
    <w:rsid w:val="00D33E23"/>
    <w:rsid w:val="00D37B70"/>
    <w:rsid w:val="00D422CA"/>
    <w:rsid w:val="00D45994"/>
    <w:rsid w:val="00D45F8C"/>
    <w:rsid w:val="00D5653A"/>
    <w:rsid w:val="00D565E8"/>
    <w:rsid w:val="00D56B4E"/>
    <w:rsid w:val="00D84400"/>
    <w:rsid w:val="00D865DF"/>
    <w:rsid w:val="00D87CCA"/>
    <w:rsid w:val="00D9031E"/>
    <w:rsid w:val="00D94B3F"/>
    <w:rsid w:val="00D95740"/>
    <w:rsid w:val="00D97065"/>
    <w:rsid w:val="00DA119C"/>
    <w:rsid w:val="00DA3BB2"/>
    <w:rsid w:val="00DC34B9"/>
    <w:rsid w:val="00DC5777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3A76"/>
    <w:rsid w:val="00E20BEE"/>
    <w:rsid w:val="00E220ED"/>
    <w:rsid w:val="00E234C6"/>
    <w:rsid w:val="00E2717F"/>
    <w:rsid w:val="00E35A43"/>
    <w:rsid w:val="00E361A7"/>
    <w:rsid w:val="00E37B28"/>
    <w:rsid w:val="00E402C6"/>
    <w:rsid w:val="00E41300"/>
    <w:rsid w:val="00E425BD"/>
    <w:rsid w:val="00E4402E"/>
    <w:rsid w:val="00E448A8"/>
    <w:rsid w:val="00E51243"/>
    <w:rsid w:val="00E548E9"/>
    <w:rsid w:val="00E63C82"/>
    <w:rsid w:val="00E73822"/>
    <w:rsid w:val="00E73AA3"/>
    <w:rsid w:val="00E77747"/>
    <w:rsid w:val="00E82E32"/>
    <w:rsid w:val="00EA4746"/>
    <w:rsid w:val="00EA742B"/>
    <w:rsid w:val="00EA7526"/>
    <w:rsid w:val="00EA7670"/>
    <w:rsid w:val="00EB4461"/>
    <w:rsid w:val="00EB4784"/>
    <w:rsid w:val="00EB49E6"/>
    <w:rsid w:val="00EB6995"/>
    <w:rsid w:val="00EC1C31"/>
    <w:rsid w:val="00EC1DE9"/>
    <w:rsid w:val="00EC2E30"/>
    <w:rsid w:val="00ED3E30"/>
    <w:rsid w:val="00EE0125"/>
    <w:rsid w:val="00EE584B"/>
    <w:rsid w:val="00EF7156"/>
    <w:rsid w:val="00F0424C"/>
    <w:rsid w:val="00F10920"/>
    <w:rsid w:val="00F15F3F"/>
    <w:rsid w:val="00F17457"/>
    <w:rsid w:val="00F23961"/>
    <w:rsid w:val="00F23DD0"/>
    <w:rsid w:val="00F444DE"/>
    <w:rsid w:val="00F4730C"/>
    <w:rsid w:val="00F50902"/>
    <w:rsid w:val="00F52F7E"/>
    <w:rsid w:val="00F5383A"/>
    <w:rsid w:val="00F61060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1E48"/>
    <w:rsid w:val="00FA33B5"/>
    <w:rsid w:val="00FA4C7A"/>
    <w:rsid w:val="00FC4F89"/>
    <w:rsid w:val="00FD21FD"/>
    <w:rsid w:val="00FD2BBA"/>
    <w:rsid w:val="00FD3E07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gfx/warszawa/userfiles/kozminskid/jednostronicowe/boze_narodzenie_2021_warszawa.docx" TargetMode="External"/><Relationship Id="rId5" Type="http://schemas.openxmlformats.org/officeDocument/2006/relationships/hyperlink" Target="https://twitter.com/Warszawa_STAT" TargetMode="External"/><Relationship Id="rId4" Type="http://schemas.openxmlformats.org/officeDocument/2006/relationships/hyperlink" Target="https://warszawa.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Koźmiński Daniel</cp:lastModifiedBy>
  <cp:revision>14</cp:revision>
  <cp:lastPrinted>2020-02-24T09:44:00Z</cp:lastPrinted>
  <dcterms:created xsi:type="dcterms:W3CDTF">2020-12-29T08:54:00Z</dcterms:created>
  <dcterms:modified xsi:type="dcterms:W3CDTF">2021-12-22T06:09:00Z</dcterms:modified>
</cp:coreProperties>
</file>