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211AE2A5" w:rsidR="00D13829" w:rsidRDefault="00523E82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Bezrobotni zarejestrowani w końcu IV kwartału</w:t>
      </w:r>
      <w:r w:rsidR="00162DB6">
        <w:rPr>
          <w:sz w:val="22"/>
          <w:szCs w:val="22"/>
        </w:rPr>
        <w:t xml:space="preserve"> </w:t>
      </w:r>
      <w:r w:rsidR="00E608C3">
        <w:rPr>
          <w:sz w:val="22"/>
          <w:szCs w:val="22"/>
        </w:rPr>
        <w:t>2020</w:t>
      </w:r>
      <w:r w:rsidR="00D13829" w:rsidRPr="00D13829">
        <w:rPr>
          <w:sz w:val="22"/>
          <w:szCs w:val="22"/>
        </w:rPr>
        <w:t xml:space="preserve"> r.</w:t>
      </w:r>
      <w:r w:rsidR="00D13829">
        <w:rPr>
          <w:sz w:val="22"/>
          <w:szCs w:val="22"/>
        </w:rPr>
        <w:t xml:space="preserve"> – opis alternatywny</w:t>
      </w:r>
    </w:p>
    <w:p w14:paraId="219B170F" w14:textId="7E1A8009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</w:t>
      </w:r>
      <w:r w:rsidR="005157EC">
        <w:rPr>
          <w:sz w:val="19"/>
          <w:szCs w:val="19"/>
        </w:rPr>
        <w:t xml:space="preserve">zarejestrowanych </w:t>
      </w:r>
      <w:r w:rsidR="00523E82">
        <w:rPr>
          <w:sz w:val="19"/>
          <w:szCs w:val="19"/>
        </w:rPr>
        <w:t>bezrobotnych</w:t>
      </w:r>
      <w:r>
        <w:rPr>
          <w:sz w:val="19"/>
          <w:szCs w:val="19"/>
        </w:rPr>
        <w:t xml:space="preserve"> w </w:t>
      </w:r>
      <w:r w:rsidR="00523E82">
        <w:rPr>
          <w:sz w:val="19"/>
          <w:szCs w:val="19"/>
        </w:rPr>
        <w:t>dzielnicach Warszawy w końcu IV kwartału</w:t>
      </w:r>
      <w:r w:rsidR="00162DB6">
        <w:rPr>
          <w:sz w:val="19"/>
          <w:szCs w:val="19"/>
        </w:rPr>
        <w:t xml:space="preserve"> </w:t>
      </w:r>
      <w:r w:rsidR="00E608C3">
        <w:rPr>
          <w:sz w:val="19"/>
          <w:szCs w:val="19"/>
        </w:rPr>
        <w:t>2020</w:t>
      </w:r>
      <w:r>
        <w:rPr>
          <w:sz w:val="19"/>
          <w:szCs w:val="19"/>
        </w:rPr>
        <w:t xml:space="preserve"> r.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45DAC2EF" w:rsidR="00D13829" w:rsidRDefault="00523E82" w:rsidP="00D13829">
      <w:pPr>
        <w:pStyle w:val="StylStylTekstFiraSans95pktPierwszywiersz0cmPrzed"/>
        <w:rPr>
          <w:sz w:val="19"/>
          <w:szCs w:val="19"/>
        </w:rPr>
      </w:pPr>
      <w:r w:rsidRPr="00523E82">
        <w:rPr>
          <w:sz w:val="19"/>
          <w:szCs w:val="19"/>
        </w:rPr>
        <w:t xml:space="preserve">Bezrobotni zarejestrowani w </w:t>
      </w:r>
      <w:r w:rsidR="00E608C3">
        <w:rPr>
          <w:sz w:val="19"/>
          <w:szCs w:val="19"/>
        </w:rPr>
        <w:t>końcu IV kwartału 2020</w:t>
      </w:r>
      <w:r w:rsidRPr="00523E82">
        <w:rPr>
          <w:sz w:val="19"/>
          <w:szCs w:val="19"/>
        </w:rPr>
        <w:t xml:space="preserve"> r.</w:t>
      </w:r>
      <w:r w:rsidR="00D13829">
        <w:rPr>
          <w:sz w:val="19"/>
          <w:szCs w:val="19"/>
        </w:rPr>
        <w:t>; dane</w:t>
      </w:r>
      <w:r>
        <w:rPr>
          <w:sz w:val="19"/>
          <w:szCs w:val="19"/>
        </w:rPr>
        <w:t xml:space="preserve"> dla dzielnic</w:t>
      </w:r>
      <w:r w:rsidR="009977DF">
        <w:rPr>
          <w:sz w:val="19"/>
          <w:szCs w:val="19"/>
        </w:rPr>
        <w:t xml:space="preserve"> Warszawy</w:t>
      </w:r>
      <w:r w:rsidR="00D13829">
        <w:rPr>
          <w:sz w:val="19"/>
          <w:szCs w:val="19"/>
        </w:rPr>
        <w:t xml:space="preserve"> 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>i kontami do 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 @Warszawa_STAT</w:t>
      </w:r>
    </w:p>
    <w:p w14:paraId="49C47E02" w14:textId="77777777" w:rsidR="007A48B5" w:rsidRDefault="00523E82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Grafika Kim jest statystyczny bezrobotny Warszawiak?</w:t>
      </w:r>
    </w:p>
    <w:p w14:paraId="509DCCD4" w14:textId="084F0F0C" w:rsidR="001C527D" w:rsidRPr="007A48B5" w:rsidRDefault="00005FAD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 lewej stronie infografiki</w:t>
      </w:r>
      <w:r w:rsidR="007A48B5">
        <w:rPr>
          <w:sz w:val="19"/>
          <w:szCs w:val="19"/>
        </w:rPr>
        <w:t xml:space="preserve"> </w:t>
      </w:r>
      <w:r w:rsidR="00523E82">
        <w:rPr>
          <w:sz w:val="19"/>
        </w:rPr>
        <w:t>zaprezentowano dane dotyczące statystycznego bezrobotnego Warszawiaka</w:t>
      </w:r>
      <w:r w:rsidR="00B42321">
        <w:rPr>
          <w:sz w:val="19"/>
        </w:rPr>
        <w:t>.</w:t>
      </w:r>
      <w:r w:rsidR="00775E39">
        <w:rPr>
          <w:sz w:val="19"/>
        </w:rPr>
        <w:t xml:space="preserve"> </w:t>
      </w:r>
      <w:r w:rsidR="006779D3" w:rsidRPr="006779D3">
        <w:rPr>
          <w:sz w:val="19"/>
        </w:rPr>
        <w:t>Wśród ogółu zarejestrowanych bezrobotnych w Warszawie przeważali mężczyźni</w:t>
      </w:r>
      <w:r w:rsidR="006779D3">
        <w:rPr>
          <w:sz w:val="19"/>
        </w:rPr>
        <w:t xml:space="preserve"> – 51%</w:t>
      </w:r>
      <w:r w:rsidR="006779D3" w:rsidRPr="006779D3">
        <w:rPr>
          <w:sz w:val="19"/>
        </w:rPr>
        <w:t>.</w:t>
      </w:r>
      <w:r w:rsidR="006779D3" w:rsidRPr="006779D3">
        <w:rPr>
          <w:b/>
          <w:bCs/>
        </w:rPr>
        <w:t xml:space="preserve"> </w:t>
      </w:r>
      <w:r w:rsidR="006779D3" w:rsidRPr="006779D3">
        <w:rPr>
          <w:rFonts w:cs="Arial"/>
          <w:bCs/>
          <w:sz w:val="19"/>
          <w:szCs w:val="19"/>
        </w:rPr>
        <w:t>Statystyczny bezrobotny</w:t>
      </w:r>
      <w:r w:rsidR="001C527D" w:rsidRPr="001C527D">
        <w:t xml:space="preserve"> </w:t>
      </w:r>
      <w:r w:rsidR="001C527D">
        <w:t xml:space="preserve">Warszawiak </w:t>
      </w:r>
      <w:r w:rsidR="001C527D" w:rsidRPr="001C527D">
        <w:rPr>
          <w:sz w:val="19"/>
        </w:rPr>
        <w:t>posiada</w:t>
      </w:r>
      <w:r w:rsidR="000B142A">
        <w:rPr>
          <w:sz w:val="19"/>
        </w:rPr>
        <w:t>ł</w:t>
      </w:r>
      <w:r w:rsidR="00E608C3">
        <w:rPr>
          <w:sz w:val="19"/>
        </w:rPr>
        <w:t xml:space="preserve"> wykształcenie wyższe – 34</w:t>
      </w:r>
      <w:r w:rsidR="001C527D" w:rsidRPr="001C527D">
        <w:rPr>
          <w:sz w:val="19"/>
        </w:rPr>
        <w:t>%, m</w:t>
      </w:r>
      <w:r w:rsidR="000B142A">
        <w:rPr>
          <w:sz w:val="19"/>
        </w:rPr>
        <w:t>i</w:t>
      </w:r>
      <w:r w:rsidR="001C527D" w:rsidRPr="001C527D">
        <w:rPr>
          <w:sz w:val="19"/>
        </w:rPr>
        <w:t>a</w:t>
      </w:r>
      <w:r w:rsidR="000B142A">
        <w:rPr>
          <w:sz w:val="19"/>
        </w:rPr>
        <w:t>ł</w:t>
      </w:r>
      <w:r w:rsidR="00E608C3">
        <w:rPr>
          <w:sz w:val="19"/>
        </w:rPr>
        <w:t xml:space="preserve"> 35-44 lata – 30</w:t>
      </w:r>
      <w:r w:rsidR="001C527D" w:rsidRPr="001C527D">
        <w:rPr>
          <w:sz w:val="19"/>
        </w:rPr>
        <w:t xml:space="preserve">%, ze stażem </w:t>
      </w:r>
      <w:r w:rsidR="00E608C3">
        <w:rPr>
          <w:sz w:val="19"/>
        </w:rPr>
        <w:t>pracy do 1 roku – 24</w:t>
      </w:r>
      <w:r w:rsidR="000B142A">
        <w:rPr>
          <w:sz w:val="19"/>
        </w:rPr>
        <w:t>%, pozostawał</w:t>
      </w:r>
      <w:r w:rsidR="00E608C3">
        <w:rPr>
          <w:sz w:val="19"/>
        </w:rPr>
        <w:t xml:space="preserve"> bez pracy </w:t>
      </w:r>
      <w:r w:rsidR="00130F55">
        <w:rPr>
          <w:sz w:val="19"/>
        </w:rPr>
        <w:t xml:space="preserve">3 </w:t>
      </w:r>
      <w:r w:rsidR="00E608C3">
        <w:rPr>
          <w:sz w:val="19"/>
        </w:rPr>
        <w:t>miesiące</w:t>
      </w:r>
      <w:r w:rsidR="00130F55">
        <w:rPr>
          <w:sz w:val="19"/>
        </w:rPr>
        <w:t xml:space="preserve"> i mniej</w:t>
      </w:r>
      <w:r w:rsidR="00E608C3">
        <w:rPr>
          <w:sz w:val="19"/>
        </w:rPr>
        <w:t xml:space="preserve"> – 26</w:t>
      </w:r>
      <w:r w:rsidR="001C527D" w:rsidRPr="001C527D">
        <w:rPr>
          <w:sz w:val="19"/>
        </w:rPr>
        <w:t>%</w:t>
      </w:r>
      <w:r w:rsidR="001C527D">
        <w:rPr>
          <w:sz w:val="19"/>
        </w:rPr>
        <w:t xml:space="preserve"> i</w:t>
      </w:r>
      <w:r w:rsidR="006779D3" w:rsidRPr="006779D3">
        <w:rPr>
          <w:rFonts w:cs="Arial"/>
          <w:bCs/>
          <w:sz w:val="19"/>
          <w:szCs w:val="19"/>
        </w:rPr>
        <w:t xml:space="preserve"> pochod</w:t>
      </w:r>
      <w:r w:rsidR="000B142A">
        <w:rPr>
          <w:rFonts w:cs="Arial"/>
          <w:bCs/>
          <w:sz w:val="19"/>
          <w:szCs w:val="19"/>
        </w:rPr>
        <w:t xml:space="preserve">ził </w:t>
      </w:r>
      <w:r w:rsidR="006779D3" w:rsidRPr="006779D3">
        <w:rPr>
          <w:rFonts w:cs="Arial"/>
          <w:bCs/>
          <w:sz w:val="19"/>
          <w:szCs w:val="19"/>
        </w:rPr>
        <w:t>z dzielnicy Praga-Południe</w:t>
      </w:r>
      <w:r w:rsidR="006779D3">
        <w:rPr>
          <w:sz w:val="19"/>
        </w:rPr>
        <w:t xml:space="preserve"> – 13%</w:t>
      </w:r>
      <w:r w:rsidR="006779D3" w:rsidRPr="006779D3">
        <w:rPr>
          <w:rFonts w:cs="Arial"/>
          <w:bCs/>
          <w:sz w:val="19"/>
          <w:szCs w:val="19"/>
        </w:rPr>
        <w:t xml:space="preserve">. </w:t>
      </w:r>
      <w:hyperlink r:id="rId5" w:history="1">
        <w:r w:rsidR="00293E2F" w:rsidRPr="003E3ACA">
          <w:rPr>
            <w:rStyle w:val="Hipercze"/>
            <w:sz w:val="19"/>
          </w:rPr>
          <w:t>Lin</w:t>
        </w:r>
        <w:r w:rsidR="00523E82">
          <w:rPr>
            <w:rStyle w:val="Hipercze"/>
            <w:sz w:val="19"/>
          </w:rPr>
          <w:t>k do arkusza z danymi</w:t>
        </w:r>
        <w:r w:rsidR="00293E2F" w:rsidRPr="003E3ACA">
          <w:rPr>
            <w:rStyle w:val="Hipercze"/>
            <w:sz w:val="19"/>
          </w:rPr>
          <w:t xml:space="preserve"> w formacie Excel</w:t>
        </w:r>
      </w:hyperlink>
    </w:p>
    <w:p w14:paraId="5ECAC27D" w14:textId="77777777" w:rsidR="001C527D" w:rsidRDefault="001C527D" w:rsidP="00D400B8">
      <w:pPr>
        <w:pStyle w:val="opisalternatywnyII"/>
        <w:rPr>
          <w:sz w:val="19"/>
        </w:rPr>
      </w:pPr>
      <w:r>
        <w:rPr>
          <w:sz w:val="19"/>
        </w:rPr>
        <w:t>Grafika Bezrobotni w wieku 35–44 lata w % ogółu bezrobotnych w dzielnicy</w:t>
      </w:r>
    </w:p>
    <w:p w14:paraId="43740F10" w14:textId="7D4EF68D" w:rsidR="007A48B5" w:rsidRPr="0011521E" w:rsidRDefault="008E5C9D" w:rsidP="00005FAD">
      <w:pPr>
        <w:pStyle w:val="StylStylTekstFiraSans95pktPierwszywiersz0cmPrzed"/>
        <w:rPr>
          <w:rFonts w:cs="Arial"/>
          <w:bCs/>
          <w:sz w:val="19"/>
          <w:szCs w:val="19"/>
        </w:rPr>
      </w:pPr>
      <w:r>
        <w:rPr>
          <w:sz w:val="19"/>
        </w:rPr>
        <w:t>Po prawe</w:t>
      </w:r>
      <w:r w:rsidRPr="008E5C9D">
        <w:rPr>
          <w:sz w:val="19"/>
        </w:rPr>
        <w:t xml:space="preserve">j stronie infografiki </w:t>
      </w:r>
      <w:r w:rsidR="00960D73">
        <w:rPr>
          <w:sz w:val="19"/>
        </w:rPr>
        <w:t>pokazano</w:t>
      </w:r>
      <w:r w:rsidR="001C527D">
        <w:rPr>
          <w:sz w:val="19"/>
        </w:rPr>
        <w:t xml:space="preserve"> da</w:t>
      </w:r>
      <w:r w:rsidR="00234A6E">
        <w:rPr>
          <w:sz w:val="19"/>
        </w:rPr>
        <w:t>ną</w:t>
      </w:r>
      <w:r w:rsidR="001C527D">
        <w:rPr>
          <w:sz w:val="19"/>
        </w:rPr>
        <w:t xml:space="preserve"> dotycząc</w:t>
      </w:r>
      <w:r w:rsidR="00234A6E">
        <w:rPr>
          <w:sz w:val="19"/>
        </w:rPr>
        <w:t>ą</w:t>
      </w:r>
      <w:r w:rsidR="001C527D">
        <w:rPr>
          <w:sz w:val="19"/>
        </w:rPr>
        <w:t xml:space="preserve"> bezrobotnych</w:t>
      </w:r>
      <w:r w:rsidR="001C527D" w:rsidRPr="001C527D">
        <w:rPr>
          <w:rFonts w:asciiTheme="minorHAnsi" w:eastAsiaTheme="minorHAnsi" w:hAnsiTheme="minorHAnsi" w:cstheme="minorBidi"/>
          <w:bCs/>
          <w:sz w:val="19"/>
          <w:szCs w:val="22"/>
          <w:lang w:eastAsia="en-US"/>
        </w:rPr>
        <w:t xml:space="preserve"> </w:t>
      </w:r>
      <w:r w:rsidR="001C527D" w:rsidRPr="001C527D">
        <w:rPr>
          <w:sz w:val="19"/>
        </w:rPr>
        <w:t>w wieku 35–44 lata</w:t>
      </w:r>
      <w:r w:rsidR="001C527D">
        <w:rPr>
          <w:sz w:val="19"/>
        </w:rPr>
        <w:t xml:space="preserve"> w % ogółu bezrob</w:t>
      </w:r>
      <w:r w:rsidR="0011521E">
        <w:rPr>
          <w:sz w:val="19"/>
        </w:rPr>
        <w:t>otnych w dzielnicy, których udział wyniósł</w:t>
      </w:r>
      <w:r w:rsidR="00E608C3">
        <w:rPr>
          <w:sz w:val="19"/>
        </w:rPr>
        <w:t xml:space="preserve"> 30</w:t>
      </w:r>
      <w:r w:rsidR="001C527D">
        <w:rPr>
          <w:sz w:val="19"/>
        </w:rPr>
        <w:t xml:space="preserve">%. </w:t>
      </w:r>
      <w:r w:rsidR="0011521E">
        <w:rPr>
          <w:sz w:val="19"/>
        </w:rPr>
        <w:t xml:space="preserve">Pokazano również dane dla poszczególnych dzielnic. </w:t>
      </w:r>
      <w:r w:rsidR="001C527D" w:rsidRPr="001C527D">
        <w:rPr>
          <w:rFonts w:cs="Arial"/>
          <w:bCs/>
          <w:sz w:val="19"/>
          <w:szCs w:val="19"/>
        </w:rPr>
        <w:t>Najwi</w:t>
      </w:r>
      <w:r w:rsidR="0011521E">
        <w:rPr>
          <w:rFonts w:cs="Arial"/>
          <w:bCs/>
          <w:sz w:val="19"/>
          <w:szCs w:val="19"/>
        </w:rPr>
        <w:t xml:space="preserve">ększy udział bezrobotnych w </w:t>
      </w:r>
      <w:r w:rsidR="001C527D" w:rsidRPr="001C527D">
        <w:rPr>
          <w:rFonts w:cs="Arial"/>
          <w:bCs/>
          <w:sz w:val="19"/>
          <w:szCs w:val="19"/>
        </w:rPr>
        <w:t>wieku</w:t>
      </w:r>
      <w:r w:rsidR="0011521E">
        <w:rPr>
          <w:rFonts w:cs="Arial"/>
          <w:bCs/>
          <w:sz w:val="19"/>
          <w:szCs w:val="19"/>
        </w:rPr>
        <w:t xml:space="preserve"> 35–44 lata</w:t>
      </w:r>
      <w:r w:rsidR="001C527D" w:rsidRPr="001C527D">
        <w:rPr>
          <w:rFonts w:cs="Arial"/>
          <w:bCs/>
          <w:sz w:val="19"/>
          <w:szCs w:val="19"/>
        </w:rPr>
        <w:t xml:space="preserve"> wśród ogółu bezrobotnych w dzielnicy był </w:t>
      </w:r>
      <w:r w:rsidR="00952A74">
        <w:rPr>
          <w:rFonts w:cs="Arial"/>
          <w:bCs/>
          <w:sz w:val="19"/>
          <w:szCs w:val="19"/>
        </w:rPr>
        <w:t>w</w:t>
      </w:r>
      <w:r w:rsidR="00E608C3">
        <w:rPr>
          <w:rFonts w:cs="Arial"/>
          <w:bCs/>
          <w:sz w:val="19"/>
          <w:szCs w:val="19"/>
        </w:rPr>
        <w:t xml:space="preserve"> Wilanowie (40%), najmniejszy we Wesołej (26</w:t>
      </w:r>
      <w:r w:rsidR="001C527D" w:rsidRPr="001C527D">
        <w:rPr>
          <w:rFonts w:cs="Arial"/>
          <w:bCs/>
          <w:sz w:val="19"/>
          <w:szCs w:val="19"/>
        </w:rPr>
        <w:t>%).</w:t>
      </w:r>
      <w:r w:rsidR="00005FAD">
        <w:rPr>
          <w:rFonts w:cs="Arial"/>
          <w:bCs/>
          <w:sz w:val="19"/>
          <w:szCs w:val="19"/>
        </w:rPr>
        <w:t xml:space="preserve"> </w:t>
      </w:r>
      <w:hyperlink r:id="rId6" w:history="1">
        <w:r w:rsidR="00005FAD" w:rsidRPr="003E3ACA">
          <w:rPr>
            <w:rStyle w:val="Hipercze"/>
            <w:sz w:val="19"/>
          </w:rPr>
          <w:t>Lin</w:t>
        </w:r>
        <w:r w:rsidR="00005FAD">
          <w:rPr>
            <w:rStyle w:val="Hipercze"/>
            <w:sz w:val="19"/>
          </w:rPr>
          <w:t>k do arkusza z danymi</w:t>
        </w:r>
        <w:r w:rsidR="00005FAD" w:rsidRPr="003E3ACA">
          <w:rPr>
            <w:rStyle w:val="Hipercze"/>
            <w:sz w:val="19"/>
          </w:rPr>
          <w:t xml:space="preserve"> w formacie Excel</w:t>
        </w:r>
      </w:hyperlink>
    </w:p>
    <w:p w14:paraId="1FCF6048" w14:textId="4CD2FFC1" w:rsidR="007A48B5" w:rsidRPr="007A48B5" w:rsidRDefault="007A48B5" w:rsidP="007A48B5">
      <w:pPr>
        <w:pStyle w:val="opisalternatywnyII"/>
        <w:rPr>
          <w:sz w:val="19"/>
        </w:rPr>
      </w:pPr>
      <w:r w:rsidRPr="007A48B5">
        <w:rPr>
          <w:sz w:val="19"/>
        </w:rPr>
        <w:t xml:space="preserve">Grafika Bezrobotni </w:t>
      </w:r>
      <w:r>
        <w:rPr>
          <w:sz w:val="19"/>
        </w:rPr>
        <w:t>z wykształceniem wyższym</w:t>
      </w:r>
      <w:r w:rsidRPr="007A48B5">
        <w:rPr>
          <w:sz w:val="19"/>
        </w:rPr>
        <w:t xml:space="preserve"> w % ogółu bezrobotnych w dzielnicy</w:t>
      </w:r>
    </w:p>
    <w:p w14:paraId="70AD801D" w14:textId="434FB744" w:rsidR="00005FAD" w:rsidRPr="00005FAD" w:rsidRDefault="007A48B5" w:rsidP="00005FAD">
      <w:pPr>
        <w:pStyle w:val="StylStylTekstFiraSans95pktPierwszywiersz0cmPrzed"/>
        <w:rPr>
          <w:sz w:val="19"/>
          <w:szCs w:val="19"/>
        </w:rPr>
      </w:pPr>
      <w:r>
        <w:rPr>
          <w:sz w:val="19"/>
        </w:rPr>
        <w:t>Po le</w:t>
      </w:r>
      <w:r w:rsidRPr="007A48B5">
        <w:rPr>
          <w:rFonts w:cs="Arial"/>
          <w:bCs/>
          <w:sz w:val="19"/>
          <w:szCs w:val="19"/>
        </w:rPr>
        <w:t>wej</w:t>
      </w:r>
      <w:r>
        <w:rPr>
          <w:sz w:val="19"/>
        </w:rPr>
        <w:t xml:space="preserve"> </w:t>
      </w:r>
      <w:r w:rsidRPr="007A48B5">
        <w:rPr>
          <w:rFonts w:cs="Arial"/>
          <w:bCs/>
          <w:sz w:val="19"/>
          <w:szCs w:val="19"/>
        </w:rPr>
        <w:t xml:space="preserve">stronie infografiki </w:t>
      </w:r>
      <w:r>
        <w:rPr>
          <w:sz w:val="19"/>
        </w:rPr>
        <w:t xml:space="preserve">na dole </w:t>
      </w:r>
      <w:r w:rsidRPr="007A48B5">
        <w:rPr>
          <w:rFonts w:cs="Arial"/>
          <w:bCs/>
          <w:sz w:val="19"/>
          <w:szCs w:val="19"/>
        </w:rPr>
        <w:t>zaprezentowano da</w:t>
      </w:r>
      <w:r w:rsidR="00384B15">
        <w:rPr>
          <w:rFonts w:cs="Arial"/>
          <w:bCs/>
          <w:sz w:val="19"/>
          <w:szCs w:val="19"/>
        </w:rPr>
        <w:t>ną dotyczącą</w:t>
      </w:r>
      <w:r w:rsidRPr="007A48B5">
        <w:rPr>
          <w:rFonts w:cs="Arial"/>
          <w:bCs/>
          <w:sz w:val="19"/>
          <w:szCs w:val="19"/>
        </w:rPr>
        <w:t xml:space="preserve"> bezrobotnych</w:t>
      </w:r>
      <w:r w:rsidRPr="007A48B5">
        <w:t xml:space="preserve"> </w:t>
      </w:r>
      <w:r w:rsidRPr="007A48B5">
        <w:rPr>
          <w:sz w:val="19"/>
        </w:rPr>
        <w:t>z wykształceniem wyższym</w:t>
      </w:r>
      <w:r w:rsidRPr="007A48B5">
        <w:rPr>
          <w:rFonts w:cs="Arial"/>
          <w:bCs/>
          <w:sz w:val="19"/>
          <w:szCs w:val="19"/>
        </w:rPr>
        <w:t xml:space="preserve"> w % ogółu bezrobotnych w dzielnicy</w:t>
      </w:r>
      <w:r w:rsidR="0011521E">
        <w:rPr>
          <w:sz w:val="19"/>
        </w:rPr>
        <w:t xml:space="preserve">, których udział wyniósł </w:t>
      </w:r>
      <w:r>
        <w:rPr>
          <w:sz w:val="19"/>
        </w:rPr>
        <w:t>3</w:t>
      </w:r>
      <w:r w:rsidR="00130F55">
        <w:rPr>
          <w:sz w:val="19"/>
        </w:rPr>
        <w:t>4</w:t>
      </w:r>
      <w:r w:rsidRPr="007A48B5">
        <w:rPr>
          <w:rFonts w:cs="Arial"/>
          <w:bCs/>
          <w:sz w:val="19"/>
          <w:szCs w:val="19"/>
        </w:rPr>
        <w:t>%.</w:t>
      </w:r>
      <w:r w:rsidR="0011521E" w:rsidRPr="0011521E">
        <w:t xml:space="preserve"> </w:t>
      </w:r>
      <w:r w:rsidR="0011521E" w:rsidRPr="0011521E">
        <w:rPr>
          <w:rFonts w:cs="Arial"/>
          <w:bCs/>
          <w:sz w:val="19"/>
          <w:szCs w:val="19"/>
        </w:rPr>
        <w:t>Pokazano również da</w:t>
      </w:r>
      <w:r w:rsidR="0011521E">
        <w:rPr>
          <w:rFonts w:cs="Arial"/>
          <w:bCs/>
          <w:sz w:val="19"/>
          <w:szCs w:val="19"/>
        </w:rPr>
        <w:t xml:space="preserve">ne dla poszczególnych dzielnic. </w:t>
      </w:r>
      <w:r w:rsidR="00005FAD" w:rsidRPr="00005FAD">
        <w:rPr>
          <w:sz w:val="19"/>
        </w:rPr>
        <w:t xml:space="preserve">Największy udział bezrobotnych z wykształceniem wyższym wśród ogółu bezrobotnych w dzielnicy był w Wilanowie </w:t>
      </w:r>
      <w:r w:rsidR="00E608C3">
        <w:rPr>
          <w:sz w:val="19"/>
        </w:rPr>
        <w:t>(59</w:t>
      </w:r>
      <w:r w:rsidR="00384B15">
        <w:rPr>
          <w:sz w:val="19"/>
        </w:rPr>
        <w:t>%),</w:t>
      </w:r>
      <w:r w:rsidR="00005FAD" w:rsidRPr="00005FAD">
        <w:rPr>
          <w:sz w:val="19"/>
        </w:rPr>
        <w:t xml:space="preserve"> </w:t>
      </w:r>
      <w:r w:rsidR="00005FAD" w:rsidRPr="00005FAD">
        <w:rPr>
          <w:bCs/>
          <w:sz w:val="19"/>
        </w:rPr>
        <w:t>najmniejszy na Pradze-Północ (1</w:t>
      </w:r>
      <w:r w:rsidR="00E608C3">
        <w:rPr>
          <w:bCs/>
          <w:sz w:val="19"/>
        </w:rPr>
        <w:t>6</w:t>
      </w:r>
      <w:r w:rsidR="00005FAD" w:rsidRPr="00005FAD">
        <w:rPr>
          <w:bCs/>
          <w:sz w:val="19"/>
        </w:rPr>
        <w:t xml:space="preserve">%). </w:t>
      </w:r>
      <w:hyperlink r:id="rId7" w:history="1">
        <w:r w:rsidR="00005FAD" w:rsidRPr="003E3ACA">
          <w:rPr>
            <w:rStyle w:val="Hipercze"/>
            <w:sz w:val="19"/>
          </w:rPr>
          <w:t>Lin</w:t>
        </w:r>
        <w:r w:rsidR="00005FAD">
          <w:rPr>
            <w:rStyle w:val="Hipercze"/>
            <w:sz w:val="19"/>
          </w:rPr>
          <w:t>k do arkusza z danymi</w:t>
        </w:r>
        <w:r w:rsidR="00005FAD" w:rsidRPr="003E3ACA">
          <w:rPr>
            <w:rStyle w:val="Hipercze"/>
            <w:sz w:val="19"/>
          </w:rPr>
          <w:t xml:space="preserve"> w formacie Excel</w:t>
        </w:r>
      </w:hyperlink>
    </w:p>
    <w:p w14:paraId="3C945678" w14:textId="6A7D2CDC" w:rsidR="00960D73" w:rsidRPr="00005FAD" w:rsidRDefault="00960D73" w:rsidP="00960D73">
      <w:pPr>
        <w:pStyle w:val="StylStylTekstFiraSans95pktPierwszywiersz0cmPrzed"/>
        <w:rPr>
          <w:sz w:val="19"/>
          <w:szCs w:val="19"/>
        </w:rPr>
      </w:pPr>
      <w:r w:rsidRPr="00960D73">
        <w:rPr>
          <w:sz w:val="19"/>
        </w:rPr>
        <w:t>Po prawej stronie infografiki</w:t>
      </w:r>
      <w:r>
        <w:rPr>
          <w:sz w:val="19"/>
        </w:rPr>
        <w:t xml:space="preserve"> pokazano dane dotyczące </w:t>
      </w:r>
      <w:r w:rsidR="00384B15">
        <w:rPr>
          <w:sz w:val="19"/>
        </w:rPr>
        <w:t xml:space="preserve">bezrobotnych </w:t>
      </w:r>
      <w:r>
        <w:rPr>
          <w:sz w:val="19"/>
        </w:rPr>
        <w:t>kobiet w % ogółu bezrobotnych kobiet. Wykształcenie wyższe posiada</w:t>
      </w:r>
      <w:r w:rsidR="000B142A">
        <w:rPr>
          <w:sz w:val="19"/>
        </w:rPr>
        <w:t>ło</w:t>
      </w:r>
      <w:r>
        <w:rPr>
          <w:sz w:val="19"/>
        </w:rPr>
        <w:t xml:space="preserve"> 42% bezrobotnych kobiet</w:t>
      </w:r>
      <w:r w:rsidRPr="001C527D">
        <w:rPr>
          <w:sz w:val="19"/>
        </w:rPr>
        <w:t xml:space="preserve">, </w:t>
      </w:r>
      <w:r w:rsidR="00E608C3">
        <w:rPr>
          <w:sz w:val="19"/>
        </w:rPr>
        <w:t>35</w:t>
      </w:r>
      <w:r w:rsidR="000B142A" w:rsidRPr="000B142A">
        <w:rPr>
          <w:sz w:val="19"/>
        </w:rPr>
        <w:t>%</w:t>
      </w:r>
      <w:r w:rsidR="000B142A">
        <w:rPr>
          <w:sz w:val="19"/>
        </w:rPr>
        <w:t xml:space="preserve"> miało 35-44 lata</w:t>
      </w:r>
      <w:r w:rsidRPr="001C527D">
        <w:rPr>
          <w:sz w:val="19"/>
        </w:rPr>
        <w:t xml:space="preserve">, </w:t>
      </w:r>
      <w:r w:rsidR="00E608C3" w:rsidRPr="00E608C3">
        <w:rPr>
          <w:sz w:val="19"/>
        </w:rPr>
        <w:t>27% pozostawało bez pracy 3 miesiące i mniej</w:t>
      </w:r>
      <w:r w:rsidR="00E608C3">
        <w:rPr>
          <w:sz w:val="19"/>
        </w:rPr>
        <w:t xml:space="preserve">, </w:t>
      </w:r>
      <w:r w:rsidR="000B142A">
        <w:rPr>
          <w:sz w:val="19"/>
        </w:rPr>
        <w:t xml:space="preserve">22% było </w:t>
      </w:r>
      <w:r w:rsidRPr="001C527D">
        <w:rPr>
          <w:sz w:val="19"/>
        </w:rPr>
        <w:t>ze stażem pracy do 1 roku</w:t>
      </w:r>
      <w:r>
        <w:rPr>
          <w:sz w:val="19"/>
        </w:rPr>
        <w:t>.</w:t>
      </w:r>
      <w:r>
        <w:rPr>
          <w:rFonts w:cs="Arial"/>
          <w:bCs/>
          <w:sz w:val="19"/>
          <w:szCs w:val="19"/>
        </w:rPr>
        <w:t xml:space="preserve"> Podano również dane dotyczące </w:t>
      </w:r>
      <w:r w:rsidR="00384B15">
        <w:rPr>
          <w:rFonts w:cs="Arial"/>
          <w:bCs/>
          <w:sz w:val="19"/>
          <w:szCs w:val="19"/>
        </w:rPr>
        <w:t xml:space="preserve">bezrobotnych </w:t>
      </w:r>
      <w:r>
        <w:rPr>
          <w:rFonts w:cs="Arial"/>
          <w:bCs/>
          <w:sz w:val="19"/>
          <w:szCs w:val="19"/>
        </w:rPr>
        <w:t>mężczyzn</w:t>
      </w:r>
      <w:r w:rsidRPr="00960D73">
        <w:rPr>
          <w:sz w:val="19"/>
        </w:rPr>
        <w:t xml:space="preserve"> </w:t>
      </w:r>
      <w:r>
        <w:rPr>
          <w:sz w:val="19"/>
        </w:rPr>
        <w:t>w % ogółu bezrobotnych mężczyzn.</w:t>
      </w:r>
      <w:r w:rsidRPr="00960D73">
        <w:t xml:space="preserve"> </w:t>
      </w:r>
      <w:r>
        <w:rPr>
          <w:sz w:val="19"/>
        </w:rPr>
        <w:t>Wykształcenie wyższe posiada</w:t>
      </w:r>
      <w:r w:rsidR="00E608C3">
        <w:rPr>
          <w:sz w:val="19"/>
        </w:rPr>
        <w:t>ło 27% bezrobotnych mężczyzn, 26</w:t>
      </w:r>
      <w:r w:rsidR="000B142A">
        <w:rPr>
          <w:sz w:val="19"/>
        </w:rPr>
        <w:t xml:space="preserve">% miało </w:t>
      </w:r>
      <w:r>
        <w:rPr>
          <w:sz w:val="19"/>
        </w:rPr>
        <w:t xml:space="preserve">35-44 lata, </w:t>
      </w:r>
      <w:r w:rsidR="00130F55" w:rsidRPr="00130F55">
        <w:rPr>
          <w:sz w:val="19"/>
        </w:rPr>
        <w:t>25% pozostawa</w:t>
      </w:r>
      <w:r w:rsidR="00130F55">
        <w:rPr>
          <w:sz w:val="19"/>
        </w:rPr>
        <w:t xml:space="preserve">ło bez pracy 3 miesiące i mniej, </w:t>
      </w:r>
      <w:r w:rsidR="00E608C3">
        <w:rPr>
          <w:sz w:val="19"/>
        </w:rPr>
        <w:t>25</w:t>
      </w:r>
      <w:r w:rsidR="000B142A" w:rsidRPr="000B142A">
        <w:rPr>
          <w:sz w:val="19"/>
        </w:rPr>
        <w:t>%</w:t>
      </w:r>
      <w:r w:rsidR="000B142A">
        <w:rPr>
          <w:sz w:val="19"/>
        </w:rPr>
        <w:t xml:space="preserve"> było ze stażem pracy do 1 roku</w:t>
      </w:r>
      <w:r w:rsidR="00130F55">
        <w:rPr>
          <w:sz w:val="19"/>
        </w:rPr>
        <w:t xml:space="preserve">. </w:t>
      </w:r>
      <w:bookmarkStart w:id="0" w:name="_GoBack"/>
      <w:bookmarkEnd w:id="0"/>
      <w:r w:rsidR="00130F55">
        <w:rPr>
          <w:rStyle w:val="Hipercze"/>
          <w:sz w:val="19"/>
        </w:rPr>
        <w:fldChar w:fldCharType="begin"/>
      </w:r>
      <w:r w:rsidR="00130F55">
        <w:rPr>
          <w:rStyle w:val="Hipercze"/>
          <w:sz w:val="19"/>
        </w:rPr>
        <w:instrText xml:space="preserve"> HYPERLINK "https://warszawa.stat.gov.pl/gfx/warszawa/userfiles/kozminskid/jednostronicowe/bezrobotni_dzielnice_12_2020.xls" </w:instrText>
      </w:r>
      <w:r w:rsidR="00130F55">
        <w:rPr>
          <w:rStyle w:val="Hipercze"/>
          <w:sz w:val="19"/>
        </w:rPr>
        <w:fldChar w:fldCharType="separate"/>
      </w:r>
      <w:r w:rsidRPr="003E3ACA">
        <w:rPr>
          <w:rStyle w:val="Hipercze"/>
          <w:sz w:val="19"/>
        </w:rPr>
        <w:t>Lin</w:t>
      </w:r>
      <w:r>
        <w:rPr>
          <w:rStyle w:val="Hipercze"/>
          <w:sz w:val="19"/>
        </w:rPr>
        <w:t>k do arkusza z danymi</w:t>
      </w:r>
      <w:r w:rsidRPr="003E3ACA">
        <w:rPr>
          <w:rStyle w:val="Hipercze"/>
          <w:sz w:val="19"/>
        </w:rPr>
        <w:t xml:space="preserve"> w formacie Excel</w:t>
      </w:r>
      <w:r w:rsidR="00130F55">
        <w:rPr>
          <w:rStyle w:val="Hipercze"/>
          <w:sz w:val="19"/>
        </w:rPr>
        <w:fldChar w:fldCharType="end"/>
      </w:r>
    </w:p>
    <w:p w14:paraId="29E83E2C" w14:textId="523426DF" w:rsidR="008975E3" w:rsidRPr="00005FAD" w:rsidRDefault="008975E3" w:rsidP="00005FAD">
      <w:pPr>
        <w:pStyle w:val="StylStylTekstFiraSans95pktPierwszywiersz0cmPrzed"/>
        <w:rPr>
          <w:sz w:val="19"/>
        </w:rPr>
      </w:pP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7951D3F6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dole infografiki po </w:t>
      </w:r>
      <w:r w:rsidR="00952A74">
        <w:rPr>
          <w:sz w:val="19"/>
          <w:szCs w:val="19"/>
        </w:rPr>
        <w:t>pra</w:t>
      </w:r>
      <w:r>
        <w:rPr>
          <w:sz w:val="19"/>
          <w:szCs w:val="19"/>
        </w:rPr>
        <w:t>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567D5E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5FAD"/>
    <w:rsid w:val="000077AB"/>
    <w:rsid w:val="000109B4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248"/>
    <w:rsid w:val="000A0551"/>
    <w:rsid w:val="000A10A0"/>
    <w:rsid w:val="000A40D0"/>
    <w:rsid w:val="000A641B"/>
    <w:rsid w:val="000B142A"/>
    <w:rsid w:val="000B1E87"/>
    <w:rsid w:val="000B3A17"/>
    <w:rsid w:val="000B7350"/>
    <w:rsid w:val="000C3EB7"/>
    <w:rsid w:val="000D17CC"/>
    <w:rsid w:val="000E6BA0"/>
    <w:rsid w:val="000E6DA4"/>
    <w:rsid w:val="000F68ED"/>
    <w:rsid w:val="000F708C"/>
    <w:rsid w:val="000F7258"/>
    <w:rsid w:val="00103779"/>
    <w:rsid w:val="00104AC6"/>
    <w:rsid w:val="0011521E"/>
    <w:rsid w:val="00117695"/>
    <w:rsid w:val="00123B4E"/>
    <w:rsid w:val="00124DF0"/>
    <w:rsid w:val="00130F55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C527D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34A6E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84B15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57EC"/>
    <w:rsid w:val="00517511"/>
    <w:rsid w:val="00521451"/>
    <w:rsid w:val="0052290D"/>
    <w:rsid w:val="00523708"/>
    <w:rsid w:val="00523E82"/>
    <w:rsid w:val="0052553C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79D3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151D5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A48B5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5C9D"/>
    <w:rsid w:val="008E68A7"/>
    <w:rsid w:val="008E6A4F"/>
    <w:rsid w:val="008E7703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2A74"/>
    <w:rsid w:val="00953D59"/>
    <w:rsid w:val="009575B7"/>
    <w:rsid w:val="00957FCB"/>
    <w:rsid w:val="00960D73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608C3"/>
    <w:rsid w:val="00E73822"/>
    <w:rsid w:val="00E73AA3"/>
    <w:rsid w:val="00E77747"/>
    <w:rsid w:val="00E82E32"/>
    <w:rsid w:val="00E9487D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444DE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bezrobotni_dzielnice_12_202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bezrobotni_dzielnice_12_2020.xls" TargetMode="External"/><Relationship Id="rId5" Type="http://schemas.openxmlformats.org/officeDocument/2006/relationships/hyperlink" Target="https://warszawa.stat.gov.pl/gfx/warszawa/userfiles/kozminskid/jednostronicowe/bezrobotni_dzielnice_12_2020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5093-01B7-41C4-A114-E168491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</cp:revision>
  <cp:lastPrinted>2020-02-24T09:44:00Z</cp:lastPrinted>
  <dcterms:created xsi:type="dcterms:W3CDTF">2021-02-18T13:04:00Z</dcterms:created>
  <dcterms:modified xsi:type="dcterms:W3CDTF">2021-02-18T13:04:00Z</dcterms:modified>
</cp:coreProperties>
</file>