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82" w:rsidRPr="00A45B85" w:rsidRDefault="005A65F8" w:rsidP="005A65F8">
      <w:pPr>
        <w:pStyle w:val="Tytuinformacji0"/>
        <w:rPr>
          <w:shd w:val="clear" w:color="auto" w:fill="FFFFFF"/>
          <w:lang w:val="en-US"/>
        </w:rPr>
      </w:pPr>
      <w:r w:rsidRPr="009C4182">
        <w:rPr>
          <w:color w:val="001D77"/>
          <w:sz w:val="18"/>
          <w:szCs w:val="18"/>
        </w:rPr>
        <mc:AlternateContent>
          <mc:Choice Requires="wps">
            <w:drawing>
              <wp:anchor distT="45720" distB="45720" distL="114300" distR="114300" simplePos="0" relativeHeight="252107776" behindDoc="0" locked="0" layoutInCell="1" allowOverlap="1" wp14:anchorId="5DD45F33" wp14:editId="1BC0BCEF">
                <wp:simplePos x="0" y="0"/>
                <wp:positionH relativeFrom="margin">
                  <wp:posOffset>0</wp:posOffset>
                </wp:positionH>
                <wp:positionV relativeFrom="paragraph">
                  <wp:posOffset>781685</wp:posOffset>
                </wp:positionV>
                <wp:extent cx="2204085" cy="1428750"/>
                <wp:effectExtent l="0" t="0" r="5715" b="0"/>
                <wp:wrapSquare wrapText="bothSides"/>
                <wp:docPr id="25" name="Pole tekstowe 2" descr="Arrow icon. The arrow points upwards, which means an increase in the number of unemployed persons compared to the previous quarter by 31.1%." title="Indicator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428750"/>
                        </a:xfrm>
                        <a:prstGeom prst="roundRect">
                          <a:avLst/>
                        </a:prstGeom>
                        <a:solidFill>
                          <a:srgbClr val="001D77"/>
                        </a:solidFill>
                        <a:ln w="9525">
                          <a:noFill/>
                          <a:miter lim="800000"/>
                          <a:headEnd/>
                          <a:tailEnd/>
                        </a:ln>
                      </wps:spPr>
                      <wps:txbx>
                        <w:txbxContent>
                          <w:p w:rsidR="00091E87" w:rsidRPr="002B59C8" w:rsidRDefault="00091E87" w:rsidP="005A65F8">
                            <w:pPr>
                              <w:pStyle w:val="Opiswskanika"/>
                              <w:rPr>
                                <w:sz w:val="60"/>
                                <w:szCs w:val="60"/>
                                <w:lang w:val="en-US"/>
                              </w:rPr>
                            </w:pPr>
                            <w:r>
                              <w:rPr>
                                <w:rFonts w:ascii="Fira Sans SemiBold" w:hAnsi="Fira Sans SemiBold"/>
                                <w:color w:val="66AFDE"/>
                                <w:sz w:val="76"/>
                                <w:szCs w:val="76"/>
                              </w:rPr>
                              <w:sym w:font="Wingdings" w:char="F0F1"/>
                            </w:r>
                            <w:r w:rsidRPr="002B59C8">
                              <w:rPr>
                                <w:rStyle w:val="WartowskanikaZnak"/>
                                <w:sz w:val="72"/>
                                <w:szCs w:val="72"/>
                                <w:lang w:val="en-US"/>
                              </w:rPr>
                              <w:t>31.1%</w:t>
                            </w:r>
                            <w:r w:rsidRPr="002B59C8">
                              <w:rPr>
                                <w:rStyle w:val="WartowskanikaZnak"/>
                                <w:lang w:val="en-US"/>
                              </w:rPr>
                              <w:t xml:space="preserve"> </w:t>
                            </w:r>
                          </w:p>
                          <w:p w:rsidR="00091E87" w:rsidRPr="002B59C8" w:rsidRDefault="00091E87" w:rsidP="002B59C8">
                            <w:pPr>
                              <w:pStyle w:val="Opiswskanika"/>
                              <w:rPr>
                                <w:lang w:val="en-US"/>
                              </w:rPr>
                            </w:pPr>
                            <w:r>
                              <w:rPr>
                                <w:lang w:val="en-US"/>
                              </w:rPr>
                              <w:t>in</w:t>
                            </w:r>
                            <w:r w:rsidRPr="002B59C8">
                              <w:rPr>
                                <w:lang w:val="en-US"/>
                              </w:rPr>
                              <w:t>crease in the number of unemployed persons compared to the previous quarter</w:t>
                            </w:r>
                          </w:p>
                          <w:p w:rsidR="00091E87" w:rsidRPr="004961CE" w:rsidRDefault="00091E87" w:rsidP="005A65F8">
                            <w:pPr>
                              <w:pStyle w:val="Opiswskanika"/>
                              <w:rPr>
                                <w:sz w:val="18"/>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D45F33" id="Pole tekstowe 2" o:spid="_x0000_s1026" alt="Tytuł: Indicator description — opis: Arrow icon. The arrow points upwards, which means an increase in the number of unemployed persons compared to the previous quarter by 31.1%." style="position:absolute;margin-left:0;margin-top:61.55pt;width:173.55pt;height:112.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" fillcolor="#001d77" stroked="f">
                <v:stroke joinstyle="miter"/>
                <v:textbox>
                  <w:txbxContent>
                    <w:p w:rsidR="00091E87" w:rsidRPr="002B59C8" w:rsidRDefault="00091E87" w:rsidP="005A65F8">
                      <w:pPr>
                        <w:pStyle w:val="Opiswskanika"/>
                        <w:rPr>
                          <w:sz w:val="60"/>
                          <w:szCs w:val="60"/>
                          <w:lang w:val="en-US"/>
                        </w:rPr>
                      </w:pPr>
                      <w:r>
                        <w:rPr>
                          <w:rFonts w:ascii="Fira Sans SemiBold" w:hAnsi="Fira Sans SemiBold"/>
                          <w:color w:val="66AFDE"/>
                          <w:sz w:val="76"/>
                          <w:szCs w:val="76"/>
                        </w:rPr>
                        <w:sym w:font="Wingdings" w:char="F0F1"/>
                      </w:r>
                      <w:r w:rsidRPr="002B59C8">
                        <w:rPr>
                          <w:rStyle w:val="WartowskanikaZnak"/>
                          <w:sz w:val="72"/>
                          <w:szCs w:val="72"/>
                          <w:lang w:val="en-US"/>
                        </w:rPr>
                        <w:t>31.1%</w:t>
                      </w:r>
                      <w:r w:rsidRPr="002B59C8">
                        <w:rPr>
                          <w:rStyle w:val="WartowskanikaZnak"/>
                          <w:lang w:val="en-US"/>
                        </w:rPr>
                        <w:t xml:space="preserve"> </w:t>
                      </w:r>
                    </w:p>
                    <w:p w:rsidR="00091E87" w:rsidRPr="002B59C8" w:rsidRDefault="00091E87" w:rsidP="002B59C8">
                      <w:pPr>
                        <w:pStyle w:val="Opiswskanika"/>
                        <w:rPr>
                          <w:lang w:val="en-US"/>
                        </w:rPr>
                      </w:pPr>
                      <w:r>
                        <w:rPr>
                          <w:lang w:val="en-US"/>
                        </w:rPr>
                        <w:t>in</w:t>
                      </w:r>
                      <w:r w:rsidRPr="002B59C8">
                        <w:rPr>
                          <w:lang w:val="en-US"/>
                        </w:rPr>
                        <w:t>crease in the number of unemployed persons compared to the previous quarter</w:t>
                      </w:r>
                    </w:p>
                    <w:p w:rsidR="00091E87" w:rsidRPr="004961CE" w:rsidRDefault="00091E87" w:rsidP="005A65F8">
                      <w:pPr>
                        <w:pStyle w:val="Opiswskanika"/>
                        <w:rPr>
                          <w:sz w:val="18"/>
                          <w:szCs w:val="20"/>
                          <w:lang w:val="en-US"/>
                        </w:rPr>
                      </w:pPr>
                    </w:p>
                  </w:txbxContent>
                </v:textbox>
                <w10:wrap type="square" anchorx="margin"/>
              </v:roundrect>
            </w:pict>
          </mc:Fallback>
        </mc:AlternateContent>
      </w:r>
      <w:r w:rsidR="004275F3" w:rsidRPr="005A65F8">
        <mc:AlternateContent>
          <mc:Choice Requires="wps">
            <w:drawing>
              <wp:anchor distT="0" distB="0" distL="114300" distR="114300" simplePos="0" relativeHeight="251842560" behindDoc="0" locked="0" layoutInCell="1" allowOverlap="1" wp14:anchorId="124737E9" wp14:editId="53349BF7">
                <wp:simplePos x="0" y="0"/>
                <wp:positionH relativeFrom="column">
                  <wp:posOffset>5232400</wp:posOffset>
                </wp:positionH>
                <wp:positionV relativeFrom="paragraph">
                  <wp:posOffset>64770</wp:posOffset>
                </wp:positionV>
                <wp:extent cx="1329267" cy="448733"/>
                <wp:effectExtent l="0" t="0" r="0" b="0"/>
                <wp:wrapNone/>
                <wp:docPr id="12" name="Pole tekstowe 12" descr="Data publikacji informacji sygnalnej 29 czerwca 2022 rok" title="Data publikacji"/>
                <wp:cNvGraphicFramePr/>
                <a:graphic xmlns:a="http://schemas.openxmlformats.org/drawingml/2006/main">
                  <a:graphicData uri="http://schemas.microsoft.com/office/word/2010/wordprocessingShape">
                    <wps:wsp>
                      <wps:cNvSpPr txBox="1"/>
                      <wps:spPr>
                        <a:xfrm>
                          <a:off x="0" y="0"/>
                          <a:ext cx="1329267" cy="448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AB5C2A" w:rsidRDefault="00091E87" w:rsidP="003B7E49">
                            <w:pPr>
                              <w:pStyle w:val="Datainformacji"/>
                            </w:pPr>
                            <w:r>
                              <w:t xml:space="preserve">29 </w:t>
                            </w:r>
                            <w:proofErr w:type="spellStart"/>
                            <w:r>
                              <w:t>June</w:t>
                            </w:r>
                            <w:proofErr w:type="spellEnd"/>
                            <w: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4737E9" id="_x0000_t202" coordsize="21600,21600" o:spt="202" path="m,l,21600r21600,l21600,xe">
                <v:stroke joinstyle="miter"/>
                <v:path gradientshapeok="t" o:connecttype="rect"/>
              </v:shapetype>
              <v:shape id="Pole tekstowe 12" o:spid="_x0000_s1027" type="#_x0000_t202" alt="Tytuł: Data publikacji — opis: Data publikacji informacji sygnalnej 29 czerwca 2022 rok" style="position:absolute;margin-left:412pt;margin-top:5.1pt;width:104.65pt;height:35.3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" filled="f" stroked="f" strokeweight=".5pt">
                <v:textbox>
                  <w:txbxContent>
                    <w:p w:rsidR="00091E87" w:rsidRPr="00AB5C2A" w:rsidRDefault="00091E87" w:rsidP="003B7E49">
                      <w:pPr>
                        <w:pStyle w:val="Datainformacji"/>
                      </w:pPr>
                      <w:r>
                        <w:t xml:space="preserve">29 </w:t>
                      </w:r>
                      <w:proofErr w:type="spellStart"/>
                      <w:r>
                        <w:t>June</w:t>
                      </w:r>
                      <w:proofErr w:type="spellEnd"/>
                      <w:r>
                        <w:t xml:space="preserve"> 2022</w:t>
                      </w:r>
                    </w:p>
                  </w:txbxContent>
                </v:textbox>
              </v:shape>
            </w:pict>
          </mc:Fallback>
        </mc:AlternateContent>
      </w:r>
      <w:r w:rsidR="00A45B85" w:rsidRPr="00A45B85">
        <w:rPr>
          <w:shd w:val="clear" w:color="auto" w:fill="FFFFFF"/>
          <w:lang w:val="en-US"/>
        </w:rPr>
        <w:t>Economic activity of population in</w:t>
      </w:r>
      <w:r w:rsidR="00103788" w:rsidRPr="00A45B85">
        <w:rPr>
          <w:shd w:val="clear" w:color="auto" w:fill="FFFFFF"/>
          <w:lang w:val="en-US"/>
        </w:rPr>
        <w:t xml:space="preserve"> </w:t>
      </w:r>
      <w:r w:rsidR="00A45B85" w:rsidRPr="00A45B85">
        <w:rPr>
          <w:shd w:val="clear" w:color="auto" w:fill="FFFFFF"/>
          <w:lang w:val="en-US"/>
        </w:rPr>
        <w:t xml:space="preserve">Mazowieckie Voivodship </w:t>
      </w:r>
      <w:r w:rsidR="00A45B85">
        <w:rPr>
          <w:shd w:val="clear" w:color="auto" w:fill="FFFFFF"/>
          <w:lang w:val="en-US"/>
        </w:rPr>
        <w:t>in</w:t>
      </w:r>
      <w:r w:rsidR="002C2E77" w:rsidRPr="00A45B85">
        <w:rPr>
          <w:shd w:val="clear" w:color="auto" w:fill="FFFFFF"/>
          <w:lang w:val="en-US"/>
        </w:rPr>
        <w:t xml:space="preserve"> </w:t>
      </w:r>
      <w:r w:rsidR="004637CC">
        <w:rPr>
          <w:shd w:val="clear" w:color="auto" w:fill="FFFFFF"/>
          <w:lang w:val="en-US"/>
        </w:rPr>
        <w:t xml:space="preserve">Q1 </w:t>
      </w:r>
      <w:r w:rsidR="00FB3F58" w:rsidRPr="00A45B85">
        <w:rPr>
          <w:shd w:val="clear" w:color="auto" w:fill="FFFFFF"/>
          <w:lang w:val="en-US"/>
        </w:rPr>
        <w:t>2022</w:t>
      </w:r>
    </w:p>
    <w:p w:rsidR="0037773B" w:rsidRPr="0037773B" w:rsidRDefault="0037773B" w:rsidP="0037773B">
      <w:pPr>
        <w:pStyle w:val="LID"/>
        <w:rPr>
          <w:shd w:val="clear" w:color="auto" w:fill="FFFFFF"/>
          <w:lang w:val="en-US"/>
        </w:rPr>
      </w:pPr>
      <w:r>
        <w:rPr>
          <w:shd w:val="clear" w:color="auto" w:fill="FFFFFF"/>
          <w:lang w:val="en-US"/>
        </w:rPr>
        <w:t>In Q1</w:t>
      </w:r>
      <w:r w:rsidRPr="0037773B">
        <w:rPr>
          <w:shd w:val="clear" w:color="auto" w:fill="FFFFFF"/>
          <w:lang w:val="en-US"/>
        </w:rPr>
        <w:t xml:space="preserve"> 202</w:t>
      </w:r>
      <w:r w:rsidR="005C44E6">
        <w:rPr>
          <w:shd w:val="clear" w:color="auto" w:fill="FFFFFF"/>
          <w:lang w:val="en-US"/>
        </w:rPr>
        <w:t>2</w:t>
      </w:r>
      <w:r>
        <w:rPr>
          <w:shd w:val="clear" w:color="auto" w:fill="FFFFFF"/>
          <w:lang w:val="en-US"/>
        </w:rPr>
        <w:t>, there was an in</w:t>
      </w:r>
      <w:r w:rsidRPr="0037773B">
        <w:rPr>
          <w:shd w:val="clear" w:color="auto" w:fill="FFFFFF"/>
          <w:lang w:val="en-US"/>
        </w:rPr>
        <w:t>crease in the number of unemployed</w:t>
      </w:r>
      <w:r>
        <w:rPr>
          <w:shd w:val="clear" w:color="auto" w:fill="FFFFFF"/>
          <w:lang w:val="en-US"/>
        </w:rPr>
        <w:t xml:space="preserve"> persons,</w:t>
      </w:r>
      <w:r w:rsidRPr="0037773B">
        <w:rPr>
          <w:shd w:val="clear" w:color="auto" w:fill="FFFFFF"/>
          <w:lang w:val="en-US"/>
        </w:rPr>
        <w:t xml:space="preserve"> </w:t>
      </w:r>
      <w:r>
        <w:rPr>
          <w:shd w:val="clear" w:color="auto" w:fill="FFFFFF"/>
          <w:lang w:val="en-US"/>
        </w:rPr>
        <w:t>decrease in the</w:t>
      </w:r>
      <w:r w:rsidRPr="0037773B">
        <w:rPr>
          <w:shd w:val="clear" w:color="auto" w:fill="FFFFFF"/>
          <w:lang w:val="en-US"/>
        </w:rPr>
        <w:t xml:space="preserve"> employed </w:t>
      </w:r>
      <w:r>
        <w:rPr>
          <w:shd w:val="clear" w:color="auto" w:fill="FFFFFF"/>
          <w:lang w:val="en-US"/>
        </w:rPr>
        <w:t>and</w:t>
      </w:r>
      <w:r w:rsidRPr="0037773B">
        <w:rPr>
          <w:shd w:val="clear" w:color="auto" w:fill="FFFFFF"/>
          <w:lang w:val="en-US"/>
        </w:rPr>
        <w:t xml:space="preserve"> economically</w:t>
      </w:r>
      <w:r>
        <w:rPr>
          <w:shd w:val="clear" w:color="auto" w:fill="FFFFFF"/>
          <w:lang w:val="en-US"/>
        </w:rPr>
        <w:t xml:space="preserve"> inactive persons compared to Q4</w:t>
      </w:r>
      <w:r w:rsidRPr="0037773B">
        <w:rPr>
          <w:shd w:val="clear" w:color="auto" w:fill="FFFFFF"/>
          <w:lang w:val="en-US"/>
        </w:rPr>
        <w:t xml:space="preserve"> 2021. </w:t>
      </w:r>
      <w:r>
        <w:rPr>
          <w:shd w:val="clear" w:color="auto" w:fill="FFFFFF"/>
          <w:lang w:val="en-US"/>
        </w:rPr>
        <w:t>Unemployed women looked for a job shorter than men, and unemployed rural residents shorter than urban residents.</w:t>
      </w:r>
    </w:p>
    <w:p w:rsidR="00690204" w:rsidRPr="004961CE" w:rsidRDefault="00690204" w:rsidP="009C4182">
      <w:pPr>
        <w:spacing w:before="360" w:line="240" w:lineRule="auto"/>
        <w:jc w:val="both"/>
        <w:rPr>
          <w:b/>
          <w:noProof/>
          <w:szCs w:val="19"/>
          <w:lang w:val="en-US" w:eastAsia="pl-PL"/>
        </w:rPr>
      </w:pPr>
      <w:bookmarkStart w:id="0" w:name="_GoBack"/>
      <w:bookmarkEnd w:id="0"/>
    </w:p>
    <w:p w:rsidR="0037773B" w:rsidRPr="0037773B" w:rsidRDefault="0037773B" w:rsidP="0037773B">
      <w:pPr>
        <w:spacing w:before="360" w:line="240" w:lineRule="auto"/>
        <w:jc w:val="both"/>
        <w:rPr>
          <w:rFonts w:ascii="Fira Sans SemiBold" w:eastAsia="Times New Roman" w:hAnsi="Fira Sans SemiBold" w:cs="Times New Roman"/>
          <w:b/>
          <w:bCs/>
          <w:color w:val="001D77"/>
          <w:sz w:val="20"/>
          <w:szCs w:val="20"/>
          <w:lang w:val="en-US" w:eastAsia="pl-PL"/>
        </w:rPr>
      </w:pPr>
      <w:r w:rsidRPr="0037773B">
        <w:rPr>
          <w:rFonts w:ascii="Fira Sans SemiBold" w:eastAsia="Times New Roman" w:hAnsi="Fira Sans SemiBold" w:cs="Times New Roman"/>
          <w:b/>
          <w:bCs/>
          <w:color w:val="001D77"/>
          <w:sz w:val="20"/>
          <w:szCs w:val="20"/>
          <w:lang w:val="en-US" w:eastAsia="pl-PL"/>
        </w:rPr>
        <w:t xml:space="preserve">Preliminary results of the </w:t>
      </w:r>
      <w:proofErr w:type="spellStart"/>
      <w:r w:rsidRPr="0037773B">
        <w:rPr>
          <w:rFonts w:ascii="Fira Sans SemiBold" w:eastAsia="Times New Roman" w:hAnsi="Fira Sans SemiBold" w:cs="Times New Roman"/>
          <w:b/>
          <w:bCs/>
          <w:color w:val="001D77"/>
          <w:sz w:val="20"/>
          <w:szCs w:val="20"/>
          <w:lang w:val="en-US" w:eastAsia="pl-PL"/>
        </w:rPr>
        <w:t>Labour</w:t>
      </w:r>
      <w:proofErr w:type="spellEnd"/>
      <w:r w:rsidRPr="0037773B">
        <w:rPr>
          <w:rFonts w:ascii="Fira Sans SemiBold" w:eastAsia="Times New Roman" w:hAnsi="Fira Sans SemiBold" w:cs="Times New Roman"/>
          <w:b/>
          <w:bCs/>
          <w:color w:val="001D77"/>
          <w:sz w:val="20"/>
          <w:szCs w:val="20"/>
          <w:lang w:val="en-US" w:eastAsia="pl-PL"/>
        </w:rPr>
        <w:t xml:space="preserve"> Force Survey (LFS) </w:t>
      </w:r>
    </w:p>
    <w:p w:rsidR="003E2FAE" w:rsidRDefault="0037773B" w:rsidP="009837B1">
      <w:pPr>
        <w:pStyle w:val="Nagwek1"/>
        <w:spacing w:before="120" w:line="288" w:lineRule="auto"/>
        <w:rPr>
          <w:b/>
          <w:sz w:val="20"/>
          <w:szCs w:val="20"/>
          <w:lang w:val="en-US"/>
        </w:rPr>
      </w:pPr>
      <w:r w:rsidRPr="0037773B">
        <w:rPr>
          <w:b/>
          <w:sz w:val="20"/>
          <w:szCs w:val="20"/>
          <w:lang w:val="en-US"/>
        </w:rPr>
        <w:t xml:space="preserve">From Q1 2021, changes have been introduced in LFS resulting from the implementation of the framework regulation for social statistics, i.e. Regulation (EU) 2019/1700 of the European Parliament and of the Council of 10 October 2019 and its implementing acts, more information on this the topic is available in the methodological notes of this publication and on the website of the </w:t>
      </w:r>
      <w:r w:rsidR="003E2FAE">
        <w:rPr>
          <w:b/>
          <w:sz w:val="20"/>
          <w:szCs w:val="20"/>
          <w:lang w:val="en-US"/>
        </w:rPr>
        <w:t>Statistics Poland</w:t>
      </w:r>
      <w:r w:rsidRPr="0037773B">
        <w:rPr>
          <w:b/>
          <w:sz w:val="20"/>
          <w:szCs w:val="20"/>
          <w:lang w:val="en-US"/>
        </w:rPr>
        <w:t>:</w:t>
      </w:r>
      <w:r w:rsidR="003E2FAE" w:rsidRPr="003E2FAE">
        <w:rPr>
          <w:lang w:val="en-US"/>
        </w:rPr>
        <w:t xml:space="preserve"> </w:t>
      </w:r>
      <w:hyperlink r:id="rId11" w:history="1">
        <w:r w:rsidRPr="003E2FAE">
          <w:rPr>
            <w:rStyle w:val="Hipercze"/>
            <w:b/>
            <w:sz w:val="20"/>
            <w:szCs w:val="20"/>
            <w:lang w:val="en-US"/>
          </w:rPr>
          <w:t xml:space="preserve">Information of the </w:t>
        </w:r>
        <w:r w:rsidR="003E2FAE" w:rsidRPr="003E2FAE">
          <w:rPr>
            <w:rStyle w:val="Hipercze"/>
            <w:b/>
            <w:sz w:val="20"/>
            <w:szCs w:val="20"/>
            <w:lang w:val="en-US"/>
          </w:rPr>
          <w:t>Statistics Poland</w:t>
        </w:r>
        <w:r w:rsidRPr="003E2FAE">
          <w:rPr>
            <w:rStyle w:val="Hipercze"/>
            <w:b/>
            <w:sz w:val="20"/>
            <w:szCs w:val="20"/>
            <w:lang w:val="en-US"/>
          </w:rPr>
          <w:t xml:space="preserve"> </w:t>
        </w:r>
        <w:r w:rsidR="003E2FAE" w:rsidRPr="003E2FAE">
          <w:rPr>
            <w:rStyle w:val="Hipercze"/>
            <w:b/>
            <w:sz w:val="20"/>
            <w:szCs w:val="20"/>
            <w:lang w:val="en-US"/>
          </w:rPr>
          <w:t>regarding the</w:t>
        </w:r>
        <w:r w:rsidRPr="003E2FAE">
          <w:rPr>
            <w:rStyle w:val="Hipercze"/>
            <w:b/>
            <w:sz w:val="20"/>
            <w:szCs w:val="20"/>
            <w:lang w:val="en-US"/>
          </w:rPr>
          <w:t xml:space="preserve"> changes introduced from 2021 </w:t>
        </w:r>
        <w:r w:rsidR="003E2FAE" w:rsidRPr="003E2FAE">
          <w:rPr>
            <w:rStyle w:val="Hipercze"/>
            <w:b/>
            <w:sz w:val="20"/>
            <w:szCs w:val="20"/>
            <w:lang w:val="en-US"/>
          </w:rPr>
          <w:t xml:space="preserve">onwards </w:t>
        </w:r>
        <w:r w:rsidRPr="003E2FAE">
          <w:rPr>
            <w:rStyle w:val="Hipercze"/>
            <w:b/>
            <w:sz w:val="20"/>
            <w:szCs w:val="20"/>
            <w:lang w:val="en-US"/>
          </w:rPr>
          <w:t>in</w:t>
        </w:r>
        <w:r w:rsidR="003E2FAE" w:rsidRPr="003E2FAE">
          <w:rPr>
            <w:rStyle w:val="Hipercze"/>
            <w:b/>
            <w:sz w:val="20"/>
            <w:szCs w:val="20"/>
            <w:lang w:val="en-US"/>
          </w:rPr>
          <w:t>to the</w:t>
        </w:r>
        <w:r w:rsidRPr="003E2FAE">
          <w:rPr>
            <w:rStyle w:val="Hipercze"/>
            <w:b/>
            <w:sz w:val="20"/>
            <w:szCs w:val="20"/>
            <w:lang w:val="en-US"/>
          </w:rPr>
          <w:t xml:space="preserve"> </w:t>
        </w:r>
        <w:r w:rsidR="003E2FAE">
          <w:rPr>
            <w:rStyle w:val="Hipercze"/>
            <w:b/>
            <w:sz w:val="20"/>
            <w:szCs w:val="20"/>
            <w:lang w:val="en-US"/>
          </w:rPr>
          <w:t>BAEL</w:t>
        </w:r>
        <w:r w:rsidRPr="003E2FAE">
          <w:rPr>
            <w:rStyle w:val="Hipercze"/>
            <w:b/>
            <w:sz w:val="20"/>
            <w:szCs w:val="20"/>
            <w:lang w:val="en-US"/>
          </w:rPr>
          <w:t>.</w:t>
        </w:r>
      </w:hyperlink>
      <w:r>
        <w:rPr>
          <w:b/>
          <w:sz w:val="20"/>
          <w:szCs w:val="20"/>
          <w:lang w:val="en-US"/>
        </w:rPr>
        <w:t xml:space="preserve"> </w:t>
      </w:r>
    </w:p>
    <w:p w:rsidR="003E2FAE" w:rsidRDefault="003E2FAE" w:rsidP="009837B1">
      <w:pPr>
        <w:pStyle w:val="Nagwek1"/>
        <w:spacing w:before="120" w:line="288" w:lineRule="auto"/>
        <w:rPr>
          <w:b/>
          <w:sz w:val="20"/>
          <w:szCs w:val="20"/>
          <w:lang w:val="en-US"/>
        </w:rPr>
      </w:pPr>
      <w:r w:rsidRPr="003E2FAE">
        <w:rPr>
          <w:b/>
          <w:sz w:val="20"/>
          <w:szCs w:val="20"/>
          <w:lang w:val="en-US"/>
        </w:rPr>
        <w:t xml:space="preserve">Due to the implementation of methodological changes in the </w:t>
      </w:r>
      <w:r>
        <w:rPr>
          <w:b/>
          <w:sz w:val="20"/>
          <w:szCs w:val="20"/>
          <w:lang w:val="en-US"/>
        </w:rPr>
        <w:t>survey</w:t>
      </w:r>
      <w:r w:rsidRPr="003E2FAE">
        <w:rPr>
          <w:b/>
          <w:sz w:val="20"/>
          <w:szCs w:val="20"/>
          <w:lang w:val="en-US"/>
        </w:rPr>
        <w:t xml:space="preserve">, the LFS data from Q1 2021 cannot be compared with the previous periods (except for converted data). For the purposes </w:t>
      </w:r>
      <w:r w:rsidR="006447F8">
        <w:rPr>
          <w:b/>
          <w:sz w:val="20"/>
          <w:szCs w:val="20"/>
          <w:lang w:val="en-US"/>
        </w:rPr>
        <w:t>of conducting comparative analys</w:t>
      </w:r>
      <w:r w:rsidRPr="003E2FAE">
        <w:rPr>
          <w:b/>
          <w:sz w:val="20"/>
          <w:szCs w:val="20"/>
          <w:lang w:val="en-US"/>
        </w:rPr>
        <w:t xml:space="preserve">es for longer time series, the </w:t>
      </w:r>
      <w:r w:rsidR="006447F8">
        <w:rPr>
          <w:b/>
          <w:sz w:val="20"/>
          <w:szCs w:val="20"/>
          <w:lang w:val="en-US"/>
        </w:rPr>
        <w:t>Statistics Poland</w:t>
      </w:r>
      <w:r w:rsidRPr="003E2FAE">
        <w:rPr>
          <w:b/>
          <w:sz w:val="20"/>
          <w:szCs w:val="20"/>
          <w:lang w:val="en-US"/>
        </w:rPr>
        <w:t xml:space="preserve"> prepared historical data from LFS for the years 2010-2020, compiled using the definitions</w:t>
      </w:r>
      <w:r w:rsidR="006447F8" w:rsidRPr="006447F8">
        <w:rPr>
          <w:rFonts w:ascii="Fira Sans" w:eastAsiaTheme="minorHAnsi" w:hAnsi="Fira Sans" w:cstheme="minorBidi"/>
          <w:b/>
          <w:bCs w:val="0"/>
          <w:color w:val="auto"/>
          <w:sz w:val="20"/>
          <w:szCs w:val="20"/>
          <w:lang w:val="en-US" w:eastAsia="en-US"/>
        </w:rPr>
        <w:t xml:space="preserve"> </w:t>
      </w:r>
      <w:r w:rsidR="006447F8" w:rsidRPr="006447F8">
        <w:rPr>
          <w:b/>
          <w:sz w:val="20"/>
          <w:szCs w:val="20"/>
          <w:lang w:val="en-US"/>
        </w:rPr>
        <w:t>changed from 2021</w:t>
      </w:r>
      <w:r w:rsidRPr="003E2FAE">
        <w:rPr>
          <w:b/>
          <w:sz w:val="20"/>
          <w:szCs w:val="20"/>
          <w:lang w:val="en-US"/>
        </w:rPr>
        <w:t xml:space="preserve"> of the main categories of </w:t>
      </w:r>
      <w:r w:rsidR="006447F8">
        <w:rPr>
          <w:b/>
          <w:sz w:val="20"/>
          <w:szCs w:val="20"/>
          <w:lang w:val="en-US"/>
        </w:rPr>
        <w:t>persons</w:t>
      </w:r>
      <w:r w:rsidRPr="003E2FAE">
        <w:rPr>
          <w:b/>
          <w:sz w:val="20"/>
          <w:szCs w:val="20"/>
          <w:lang w:val="en-US"/>
        </w:rPr>
        <w:t xml:space="preserve"> distinguished according to their status on the </w:t>
      </w:r>
      <w:proofErr w:type="spellStart"/>
      <w:r w:rsidRPr="003E2FAE">
        <w:rPr>
          <w:b/>
          <w:sz w:val="20"/>
          <w:szCs w:val="20"/>
          <w:lang w:val="en-US"/>
        </w:rPr>
        <w:t>labo</w:t>
      </w:r>
      <w:r w:rsidR="006447F8">
        <w:rPr>
          <w:b/>
          <w:sz w:val="20"/>
          <w:szCs w:val="20"/>
          <w:lang w:val="en-US"/>
        </w:rPr>
        <w:t>u</w:t>
      </w:r>
      <w:r w:rsidRPr="003E2FAE">
        <w:rPr>
          <w:b/>
          <w:sz w:val="20"/>
          <w:szCs w:val="20"/>
          <w:lang w:val="en-US"/>
        </w:rPr>
        <w:t>r</w:t>
      </w:r>
      <w:proofErr w:type="spellEnd"/>
      <w:r w:rsidRPr="003E2FAE">
        <w:rPr>
          <w:b/>
          <w:sz w:val="20"/>
          <w:szCs w:val="20"/>
          <w:lang w:val="en-US"/>
        </w:rPr>
        <w:t xml:space="preserve"> market, i.e. </w:t>
      </w:r>
      <w:r w:rsidR="006447F8">
        <w:rPr>
          <w:b/>
          <w:sz w:val="20"/>
          <w:szCs w:val="20"/>
          <w:lang w:val="en-US"/>
        </w:rPr>
        <w:t>employed</w:t>
      </w:r>
      <w:r w:rsidRPr="003E2FAE">
        <w:rPr>
          <w:b/>
          <w:sz w:val="20"/>
          <w:szCs w:val="20"/>
          <w:lang w:val="en-US"/>
        </w:rPr>
        <w:t xml:space="preserve">, unemployed and </w:t>
      </w:r>
      <w:r w:rsidR="006447F8">
        <w:rPr>
          <w:b/>
          <w:sz w:val="20"/>
          <w:szCs w:val="20"/>
          <w:lang w:val="en-US"/>
        </w:rPr>
        <w:t>economically inactive</w:t>
      </w:r>
      <w:r w:rsidRPr="003E2FAE">
        <w:rPr>
          <w:b/>
          <w:sz w:val="20"/>
          <w:szCs w:val="20"/>
          <w:lang w:val="en-US"/>
        </w:rPr>
        <w:t xml:space="preserve">. </w:t>
      </w:r>
      <w:hyperlink r:id="rId12" w:history="1">
        <w:r w:rsidRPr="006447F8">
          <w:rPr>
            <w:rStyle w:val="Hipercze"/>
            <w:b/>
            <w:sz w:val="20"/>
            <w:szCs w:val="20"/>
            <w:lang w:val="en-US"/>
          </w:rPr>
          <w:t xml:space="preserve">These data are available on the website of the </w:t>
        </w:r>
        <w:r w:rsidR="006447F8" w:rsidRPr="006447F8">
          <w:rPr>
            <w:rStyle w:val="Hipercze"/>
            <w:b/>
            <w:sz w:val="20"/>
            <w:szCs w:val="20"/>
            <w:lang w:val="en-US"/>
          </w:rPr>
          <w:t>Statistics Poland</w:t>
        </w:r>
        <w:r w:rsidRPr="006447F8">
          <w:rPr>
            <w:rStyle w:val="Hipercze"/>
            <w:b/>
            <w:sz w:val="20"/>
            <w:szCs w:val="20"/>
            <w:lang w:val="en-US"/>
          </w:rPr>
          <w:t>: recalculated LFS results for 2010-2020.</w:t>
        </w:r>
      </w:hyperlink>
      <w:r w:rsidR="006447F8">
        <w:rPr>
          <w:b/>
          <w:sz w:val="20"/>
          <w:szCs w:val="20"/>
          <w:lang w:val="en-US"/>
        </w:rPr>
        <w:t xml:space="preserve"> </w:t>
      </w:r>
    </w:p>
    <w:p w:rsidR="00E5397B" w:rsidRPr="004961CE" w:rsidRDefault="00E5397B" w:rsidP="009837B1">
      <w:pPr>
        <w:pStyle w:val="Nagwek1"/>
        <w:spacing w:before="120" w:line="288" w:lineRule="auto"/>
        <w:rPr>
          <w:b/>
          <w:lang w:val="en-US"/>
        </w:rPr>
      </w:pPr>
    </w:p>
    <w:p w:rsidR="002D5B46" w:rsidRPr="006447F8" w:rsidRDefault="006447F8" w:rsidP="006B00F4">
      <w:pPr>
        <w:pStyle w:val="Nagwek1"/>
        <w:spacing w:before="0" w:line="288" w:lineRule="auto"/>
        <w:rPr>
          <w:b/>
          <w:lang w:val="en-US"/>
        </w:rPr>
      </w:pPr>
      <w:r w:rsidRPr="006447F8">
        <w:rPr>
          <w:b/>
          <w:lang w:val="en-US"/>
        </w:rPr>
        <w:t xml:space="preserve">Economic activity of population aged 15–89 according to LFS </w:t>
      </w:r>
      <w:r w:rsidR="00CD758E" w:rsidRPr="00001C5B">
        <w:rPr>
          <w:b/>
          <w:noProof/>
          <w:color w:val="212492"/>
          <w:spacing w:val="-2"/>
          <w:szCs w:val="19"/>
        </w:rPr>
        <mc:AlternateContent>
          <mc:Choice Requires="wps">
            <w:drawing>
              <wp:anchor distT="45720" distB="45720" distL="114300" distR="114300" simplePos="0" relativeHeight="252010496" behindDoc="1" locked="0" layoutInCell="1" allowOverlap="1" wp14:anchorId="5242A10A" wp14:editId="53F2D8BA">
                <wp:simplePos x="0" y="0"/>
                <wp:positionH relativeFrom="column">
                  <wp:posOffset>5285740</wp:posOffset>
                </wp:positionH>
                <wp:positionV relativeFrom="paragraph">
                  <wp:posOffset>229235</wp:posOffset>
                </wp:positionV>
                <wp:extent cx="1740535" cy="723900"/>
                <wp:effectExtent l="0" t="0" r="0" b="0"/>
                <wp:wrapTight wrapText="bothSides">
                  <wp:wrapPolygon edited="0">
                    <wp:start x="709" y="0"/>
                    <wp:lineTo x="709" y="21032"/>
                    <wp:lineTo x="20804" y="21032"/>
                    <wp:lineTo x="20804" y="0"/>
                    <wp:lineTo x="709" y="0"/>
                  </wp:wrapPolygon>
                </wp:wrapTight>
                <wp:docPr id="11" name="Pole tekstowe 2" descr="Almost 40% of population aged 15-89 did not work " title="Relevan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23900"/>
                        </a:xfrm>
                        <a:prstGeom prst="rect">
                          <a:avLst/>
                        </a:prstGeom>
                        <a:noFill/>
                        <a:ln w="9525">
                          <a:noFill/>
                          <a:miter lim="800000"/>
                          <a:headEnd/>
                          <a:tailEnd/>
                        </a:ln>
                      </wps:spPr>
                      <wps:txbx>
                        <w:txbxContent>
                          <w:p w:rsidR="00091E87" w:rsidRPr="006447F8" w:rsidRDefault="00091E87" w:rsidP="006447F8">
                            <w:pPr>
                              <w:pStyle w:val="Istotnainformacja"/>
                              <w:rPr>
                                <w:lang w:val="en-US"/>
                              </w:rPr>
                            </w:pPr>
                            <w:r w:rsidRPr="006447F8">
                              <w:rPr>
                                <w:lang w:val="en-US"/>
                              </w:rPr>
                              <w:t xml:space="preserve">Almost 40% of population aged 15-89 did not work </w:t>
                            </w:r>
                          </w:p>
                          <w:p w:rsidR="00091E87" w:rsidRPr="004961CE" w:rsidRDefault="00091E87" w:rsidP="005A65F8">
                            <w:pPr>
                              <w:pStyle w:val="Istotnainformacja"/>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A10A" id="_x0000_s1028" type="#_x0000_t202" alt="Tytuł: Relevant information — opis: Almost 40% of population aged 15-89 did not work " style="position:absolute;margin-left:416.2pt;margin-top:18.05pt;width:137.05pt;height:57pt;z-index:-25130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" filled="f" stroked="f">
                <v:textbox>
                  <w:txbxContent>
                    <w:p w:rsidR="00091E87" w:rsidRPr="006447F8" w:rsidRDefault="00091E87" w:rsidP="006447F8">
                      <w:pPr>
                        <w:pStyle w:val="Istotnainformacja"/>
                        <w:rPr>
                          <w:lang w:val="en-US"/>
                        </w:rPr>
                      </w:pPr>
                      <w:r w:rsidRPr="006447F8">
                        <w:rPr>
                          <w:lang w:val="en-US"/>
                        </w:rPr>
                        <w:t xml:space="preserve">Almost 40% of population aged 15-89 did not work </w:t>
                      </w:r>
                    </w:p>
                    <w:p w:rsidR="00091E87" w:rsidRPr="004961CE" w:rsidRDefault="00091E87" w:rsidP="005A65F8">
                      <w:pPr>
                        <w:pStyle w:val="Istotnainformacja"/>
                        <w:rPr>
                          <w:lang w:val="en-US"/>
                        </w:rPr>
                      </w:pPr>
                    </w:p>
                  </w:txbxContent>
                </v:textbox>
                <w10:wrap type="tight"/>
              </v:shape>
            </w:pict>
          </mc:Fallback>
        </mc:AlternateContent>
      </w:r>
    </w:p>
    <w:p w:rsidR="006447F8" w:rsidRPr="006447F8" w:rsidRDefault="006447F8" w:rsidP="006447F8">
      <w:pPr>
        <w:rPr>
          <w:shd w:val="clear" w:color="auto" w:fill="FFFFFF"/>
          <w:lang w:val="en-US"/>
        </w:rPr>
      </w:pPr>
      <w:r w:rsidRPr="006447F8">
        <w:rPr>
          <w:shd w:val="clear" w:color="auto" w:fill="FFFFFF"/>
          <w:lang w:val="en-US"/>
        </w:rPr>
        <w:t xml:space="preserve">In the </w:t>
      </w:r>
      <w:r>
        <w:rPr>
          <w:shd w:val="clear" w:color="auto" w:fill="FFFFFF"/>
          <w:lang w:val="en-US"/>
        </w:rPr>
        <w:t>first</w:t>
      </w:r>
      <w:r w:rsidRPr="006447F8">
        <w:rPr>
          <w:shd w:val="clear" w:color="auto" w:fill="FFFFFF"/>
          <w:lang w:val="en-US"/>
        </w:rPr>
        <w:t xml:space="preserve"> quarter of 202</w:t>
      </w:r>
      <w:r w:rsidR="00D642BD">
        <w:rPr>
          <w:shd w:val="clear" w:color="auto" w:fill="FFFFFF"/>
          <w:lang w:val="en-US"/>
        </w:rPr>
        <w:t>2</w:t>
      </w:r>
      <w:r w:rsidRPr="006447F8">
        <w:rPr>
          <w:shd w:val="clear" w:color="auto" w:fill="FFFFFF"/>
          <w:lang w:val="en-US"/>
        </w:rPr>
        <w:t xml:space="preserve">, among the total population of </w:t>
      </w:r>
      <w:proofErr w:type="spellStart"/>
      <w:r w:rsidRPr="006447F8">
        <w:rPr>
          <w:shd w:val="clear" w:color="auto" w:fill="FFFFFF"/>
          <w:lang w:val="en-US"/>
        </w:rPr>
        <w:t>Mazowieckie</w:t>
      </w:r>
      <w:proofErr w:type="spellEnd"/>
      <w:r w:rsidRPr="006447F8">
        <w:rPr>
          <w:shd w:val="clear" w:color="auto" w:fill="FFFFFF"/>
          <w:lang w:val="en-US"/>
        </w:rPr>
        <w:t xml:space="preserve"> Voivodship aged 15-89, 60.3% represented employed pers</w:t>
      </w:r>
      <w:r>
        <w:rPr>
          <w:shd w:val="clear" w:color="auto" w:fill="FFFFFF"/>
          <w:lang w:val="en-US"/>
        </w:rPr>
        <w:t>ons, 1.9</w:t>
      </w:r>
      <w:r w:rsidRPr="006447F8">
        <w:rPr>
          <w:shd w:val="clear" w:color="auto" w:fill="FFFFFF"/>
          <w:lang w:val="en-US"/>
        </w:rPr>
        <w:t xml:space="preserve">% – unemployed, and </w:t>
      </w:r>
      <w:r>
        <w:rPr>
          <w:shd w:val="clear" w:color="auto" w:fill="FFFFFF"/>
          <w:lang w:val="en-US"/>
        </w:rPr>
        <w:t>37.9</w:t>
      </w:r>
      <w:r w:rsidRPr="006447F8">
        <w:rPr>
          <w:shd w:val="clear" w:color="auto" w:fill="FFFFFF"/>
          <w:lang w:val="en-US"/>
        </w:rPr>
        <w:t xml:space="preserve">% </w:t>
      </w:r>
      <w:r w:rsidRPr="006447F8">
        <w:rPr>
          <w:shd w:val="clear" w:color="auto" w:fill="FFFFFF"/>
          <w:lang w:val="en-US"/>
        </w:rPr>
        <w:softHyphen/>
        <w:t xml:space="preserve">– economically inactive persons. This means that less than half of the population aged 15-89 (39.7%) did not work. In urban and rural areas this structure looked similar. However, significant differences were visible in the structure of men and women. Without employment (economically </w:t>
      </w:r>
      <w:r>
        <w:rPr>
          <w:shd w:val="clear" w:color="auto" w:fill="FFFFFF"/>
          <w:lang w:val="en-US"/>
        </w:rPr>
        <w:t>inactive and unemployed) were 33.0% of men and 45.7</w:t>
      </w:r>
      <w:r w:rsidRPr="006447F8">
        <w:rPr>
          <w:shd w:val="clear" w:color="auto" w:fill="FFFFFF"/>
          <w:lang w:val="en-US"/>
        </w:rPr>
        <w:t xml:space="preserve">% of women. </w:t>
      </w:r>
    </w:p>
    <w:p w:rsidR="00053270" w:rsidRPr="004961CE" w:rsidRDefault="006B00F4" w:rsidP="006447F8">
      <w:pPr>
        <w:pStyle w:val="tytuwykresu"/>
        <w:rPr>
          <w:rFonts w:ascii="Fira Sans SemiBold" w:hAnsi="Fira Sans SemiBold"/>
          <w:shd w:val="clear" w:color="auto" w:fill="FFFFFF"/>
          <w:lang w:val="en-US"/>
        </w:rPr>
      </w:pPr>
      <w:r>
        <w:rPr>
          <w:noProof/>
          <w:shd w:val="clear" w:color="auto" w:fill="FFFFFF"/>
          <w:lang w:eastAsia="pl-PL"/>
        </w:rPr>
        <w:drawing>
          <wp:anchor distT="0" distB="0" distL="114300" distR="114300" simplePos="0" relativeHeight="252127232" behindDoc="0" locked="0" layoutInCell="1" allowOverlap="1">
            <wp:simplePos x="0" y="0"/>
            <wp:positionH relativeFrom="margin">
              <wp:align>right</wp:align>
            </wp:positionH>
            <wp:positionV relativeFrom="page">
              <wp:posOffset>8496300</wp:posOffset>
            </wp:positionV>
            <wp:extent cx="5122545" cy="1824990"/>
            <wp:effectExtent l="0" t="0" r="1905" b="3810"/>
            <wp:wrapTopAndBottom/>
            <wp:docPr id="8" name="Obraz 8" descr="Two pie charts show the breakdown of the population aged 15-89 by sex in the first quarter of 2022. The data for the chart is available in the attached excel file." title="Chart 1. Structure of population aged 15-89 by sex in Q1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el wykresy 1 kw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2545" cy="1824990"/>
                    </a:xfrm>
                    <a:prstGeom prst="rect">
                      <a:avLst/>
                    </a:prstGeom>
                  </pic:spPr>
                </pic:pic>
              </a:graphicData>
            </a:graphic>
          </wp:anchor>
        </w:drawing>
      </w:r>
      <w:r w:rsidR="00171246" w:rsidRPr="00D139A5">
        <w:rPr>
          <w:noProof/>
          <w:lang w:eastAsia="pl-PL"/>
        </w:rPr>
        <mc:AlternateContent>
          <mc:Choice Requires="wps">
            <w:drawing>
              <wp:anchor distT="45720" distB="45720" distL="114300" distR="114300" simplePos="0" relativeHeight="251674624" behindDoc="1" locked="0" layoutInCell="1" allowOverlap="1" wp14:anchorId="1E99BB3C" wp14:editId="4A31EC99">
                <wp:simplePos x="0" y="0"/>
                <wp:positionH relativeFrom="column">
                  <wp:posOffset>5219700</wp:posOffset>
                </wp:positionH>
                <wp:positionV relativeFrom="paragraph">
                  <wp:posOffset>339725</wp:posOffset>
                </wp:positionV>
                <wp:extent cx="1725295" cy="914400"/>
                <wp:effectExtent l="0" t="0" r="0" b="0"/>
                <wp:wrapTight wrapText="bothSides">
                  <wp:wrapPolygon edited="0">
                    <wp:start x="715" y="0"/>
                    <wp:lineTo x="715" y="21150"/>
                    <wp:lineTo x="20749" y="21150"/>
                    <wp:lineTo x="20749" y="0"/>
                    <wp:lineTo x="715" y="0"/>
                  </wp:wrapPolygon>
                </wp:wrapTight>
                <wp:docPr id="2" name="Pole tekstowe 2" descr="There were 659 unemployed and economically inactive persons per 1000 employed persons&#10;&#10;&#10;" title="Relevan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914400"/>
                        </a:xfrm>
                        <a:prstGeom prst="rect">
                          <a:avLst/>
                        </a:prstGeom>
                        <a:noFill/>
                        <a:ln w="9525">
                          <a:noFill/>
                          <a:miter lim="800000"/>
                          <a:headEnd/>
                          <a:tailEnd/>
                        </a:ln>
                      </wps:spPr>
                      <wps:txbx>
                        <w:txbxContent>
                          <w:p w:rsidR="00091E87" w:rsidRPr="00F6035D" w:rsidRDefault="00091E87" w:rsidP="005A65F8">
                            <w:pPr>
                              <w:pStyle w:val="Istotnainformacja"/>
                              <w:rPr>
                                <w:lang w:val="en-US"/>
                              </w:rPr>
                            </w:pPr>
                            <w:r w:rsidRPr="00171246">
                              <w:rPr>
                                <w:lang w:val="en-US"/>
                              </w:rPr>
                              <w:t>There were 659 unemployed and economically inactive persons per 1000 employed persons</w:t>
                            </w:r>
                            <w:r w:rsidRPr="006B00F4">
                              <w:rPr>
                                <w:lang w:val="en-US"/>
                              </w:rPr>
                              <w:br/>
                            </w:r>
                          </w:p>
                          <w:p w:rsidR="00091E87" w:rsidRPr="006B00F4" w:rsidRDefault="00091E87" w:rsidP="00CD758E">
                            <w:pPr>
                              <w:spacing w:before="240" w:after="0" w:line="240" w:lineRule="exact"/>
                              <w:rPr>
                                <w:rFonts w:eastAsia="Times New Roman" w:cs="Times New Roman"/>
                                <w:bCs/>
                                <w:color w:val="FF0000"/>
                                <w:sz w:val="18"/>
                                <w:szCs w:val="18"/>
                                <w:lang w:val="en-US" w:eastAsia="pl-PL"/>
                              </w:rPr>
                            </w:pPr>
                          </w:p>
                          <w:p w:rsidR="00091E87" w:rsidRPr="006B00F4" w:rsidRDefault="00091E87" w:rsidP="00A8178A">
                            <w:pPr>
                              <w:spacing w:after="0"/>
                              <w:rPr>
                                <w:rFonts w:eastAsia="Times New Roman" w:cs="Times New Roman"/>
                                <w:bCs/>
                                <w:color w:val="001D77"/>
                                <w:sz w:val="18"/>
                                <w:szCs w:val="18"/>
                                <w:lang w:val="en-US" w:eastAsia="pl-PL"/>
                              </w:rPr>
                            </w:pPr>
                          </w:p>
                          <w:p w:rsidR="00091E87" w:rsidRPr="006B00F4" w:rsidRDefault="00091E87" w:rsidP="00D616D2">
                            <w:pPr>
                              <w:spacing w:after="0"/>
                              <w:rPr>
                                <w:rFonts w:eastAsia="Times New Roman" w:cs="Times New Roman"/>
                                <w:bCs/>
                                <w:color w:val="001D77"/>
                                <w:sz w:val="18"/>
                                <w:szCs w:val="18"/>
                                <w:lang w:val="en-US"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BB3C" id="_x0000_s1029" type="#_x0000_t202" alt="Tytuł: Relevant information — opis: There were 659 unemployed and economically inactive persons per 1000 employed persons&#10;&#10;&#10;" style="position:absolute;margin-left:411pt;margin-top:26.75pt;width:135.85pt;height:1in;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" filled="f" stroked="f">
                <v:textbox>
                  <w:txbxContent>
                    <w:p w:rsidR="00091E87" w:rsidRPr="00F6035D" w:rsidRDefault="00091E87" w:rsidP="005A65F8">
                      <w:pPr>
                        <w:pStyle w:val="Istotnainformacja"/>
                        <w:rPr>
                          <w:lang w:val="en-US"/>
                        </w:rPr>
                      </w:pPr>
                      <w:r w:rsidRPr="00171246">
                        <w:rPr>
                          <w:lang w:val="en-US"/>
                        </w:rPr>
                        <w:t>There were 659 unemployed and economically inactive persons per 1000 employed persons</w:t>
                      </w:r>
                      <w:r w:rsidRPr="006B00F4">
                        <w:rPr>
                          <w:lang w:val="en-US"/>
                        </w:rPr>
                        <w:br/>
                      </w:r>
                    </w:p>
                    <w:p w:rsidR="00091E87" w:rsidRPr="006B00F4" w:rsidRDefault="00091E87" w:rsidP="00CD758E">
                      <w:pPr>
                        <w:spacing w:before="240" w:after="0" w:line="240" w:lineRule="exact"/>
                        <w:rPr>
                          <w:rFonts w:eastAsia="Times New Roman" w:cs="Times New Roman"/>
                          <w:bCs/>
                          <w:color w:val="FF0000"/>
                          <w:sz w:val="18"/>
                          <w:szCs w:val="18"/>
                          <w:lang w:val="en-US" w:eastAsia="pl-PL"/>
                        </w:rPr>
                      </w:pPr>
                    </w:p>
                    <w:p w:rsidR="00091E87" w:rsidRPr="006B00F4" w:rsidRDefault="00091E87" w:rsidP="00A8178A">
                      <w:pPr>
                        <w:spacing w:after="0"/>
                        <w:rPr>
                          <w:rFonts w:eastAsia="Times New Roman" w:cs="Times New Roman"/>
                          <w:bCs/>
                          <w:color w:val="001D77"/>
                          <w:sz w:val="18"/>
                          <w:szCs w:val="18"/>
                          <w:lang w:val="en-US" w:eastAsia="pl-PL"/>
                        </w:rPr>
                      </w:pPr>
                    </w:p>
                    <w:p w:rsidR="00091E87" w:rsidRPr="006B00F4" w:rsidRDefault="00091E87" w:rsidP="00D616D2">
                      <w:pPr>
                        <w:spacing w:after="0"/>
                        <w:rPr>
                          <w:rFonts w:eastAsia="Times New Roman" w:cs="Times New Roman"/>
                          <w:bCs/>
                          <w:color w:val="001D77"/>
                          <w:sz w:val="18"/>
                          <w:szCs w:val="18"/>
                          <w:lang w:val="en-US" w:eastAsia="pl-PL"/>
                        </w:rPr>
                      </w:pPr>
                    </w:p>
                  </w:txbxContent>
                </v:textbox>
                <w10:wrap type="tight"/>
              </v:shape>
            </w:pict>
          </mc:Fallback>
        </mc:AlternateContent>
      </w:r>
      <w:r w:rsidR="006447F8" w:rsidRPr="006447F8">
        <w:rPr>
          <w:shd w:val="clear" w:color="auto" w:fill="FFFFFF"/>
          <w:lang w:val="en-US"/>
        </w:rPr>
        <w:t>Chart 1. Structure of po</w:t>
      </w:r>
      <w:r w:rsidR="006447F8">
        <w:rPr>
          <w:shd w:val="clear" w:color="auto" w:fill="FFFFFF"/>
          <w:lang w:val="en-US"/>
        </w:rPr>
        <w:t xml:space="preserve">pulation aged 15-89 by sex in Q1 2022 </w:t>
      </w:r>
    </w:p>
    <w:p w:rsidR="00F6035D" w:rsidRPr="00F6035D" w:rsidRDefault="00F6035D" w:rsidP="00F6035D">
      <w:pPr>
        <w:rPr>
          <w:shd w:val="clear" w:color="auto" w:fill="FFFFFF"/>
          <w:lang w:val="en-US"/>
        </w:rPr>
      </w:pPr>
      <w:r w:rsidRPr="00F6035D">
        <w:rPr>
          <w:shd w:val="clear" w:color="auto" w:fill="FFFFFF"/>
          <w:lang w:val="en-US"/>
        </w:rPr>
        <w:lastRenderedPageBreak/>
        <w:t xml:space="preserve">Compared to the </w:t>
      </w:r>
      <w:r>
        <w:rPr>
          <w:shd w:val="clear" w:color="auto" w:fill="FFFFFF"/>
          <w:lang w:val="en-US"/>
        </w:rPr>
        <w:t>fourth</w:t>
      </w:r>
      <w:r w:rsidRPr="00F6035D">
        <w:rPr>
          <w:shd w:val="clear" w:color="auto" w:fill="FFFFFF"/>
          <w:lang w:val="en-US"/>
        </w:rPr>
        <w:t xml:space="preserve"> quarter of 2021, the number of unemployed </w:t>
      </w:r>
      <w:r>
        <w:rPr>
          <w:shd w:val="clear" w:color="auto" w:fill="FFFFFF"/>
          <w:lang w:val="en-US"/>
        </w:rPr>
        <w:t>persons increased by 31.1</w:t>
      </w:r>
      <w:r w:rsidRPr="00F6035D">
        <w:rPr>
          <w:shd w:val="clear" w:color="auto" w:fill="FFFFFF"/>
          <w:lang w:val="en-US"/>
        </w:rPr>
        <w:t xml:space="preserve">%. On the other hand, the number of </w:t>
      </w:r>
      <w:r>
        <w:rPr>
          <w:shd w:val="clear" w:color="auto" w:fill="FFFFFF"/>
          <w:lang w:val="en-US"/>
        </w:rPr>
        <w:t xml:space="preserve">employed persons (by 0.1%) and </w:t>
      </w:r>
      <w:r w:rsidRPr="00F6035D">
        <w:rPr>
          <w:shd w:val="clear" w:color="auto" w:fill="FFFFFF"/>
          <w:lang w:val="en-US"/>
        </w:rPr>
        <w:t>the</w:t>
      </w:r>
      <w:r>
        <w:rPr>
          <w:shd w:val="clear" w:color="auto" w:fill="FFFFFF"/>
          <w:lang w:val="en-US"/>
        </w:rPr>
        <w:t xml:space="preserve"> number of</w:t>
      </w:r>
      <w:r w:rsidRPr="00F6035D">
        <w:rPr>
          <w:shd w:val="clear" w:color="auto" w:fill="FFFFFF"/>
          <w:lang w:val="en-US"/>
        </w:rPr>
        <w:t xml:space="preserve"> economically inactive persons </w:t>
      </w:r>
      <w:r>
        <w:rPr>
          <w:shd w:val="clear" w:color="auto" w:fill="FFFFFF"/>
          <w:lang w:val="en-US"/>
        </w:rPr>
        <w:t>decreased (by 1.2</w:t>
      </w:r>
      <w:r w:rsidRPr="00F6035D">
        <w:rPr>
          <w:shd w:val="clear" w:color="auto" w:fill="FFFFFF"/>
          <w:lang w:val="en-US"/>
        </w:rPr>
        <w:t xml:space="preserve">%). </w:t>
      </w:r>
      <w:r>
        <w:rPr>
          <w:shd w:val="clear" w:color="auto" w:fill="FFFFFF"/>
          <w:lang w:val="en-US"/>
        </w:rPr>
        <w:t xml:space="preserve">In </w:t>
      </w:r>
      <w:r w:rsidRPr="00F6035D">
        <w:rPr>
          <w:shd w:val="clear" w:color="auto" w:fill="FFFFFF"/>
          <w:lang w:val="en-US"/>
        </w:rPr>
        <w:t xml:space="preserve">the </w:t>
      </w:r>
      <w:r>
        <w:rPr>
          <w:shd w:val="clear" w:color="auto" w:fill="FFFFFF"/>
          <w:lang w:val="en-US"/>
        </w:rPr>
        <w:t>first</w:t>
      </w:r>
      <w:r w:rsidRPr="00F6035D">
        <w:rPr>
          <w:shd w:val="clear" w:color="auto" w:fill="FFFFFF"/>
          <w:lang w:val="en-US"/>
        </w:rPr>
        <w:t xml:space="preserve"> </w:t>
      </w:r>
      <w:r>
        <w:rPr>
          <w:shd w:val="clear" w:color="auto" w:fill="FFFFFF"/>
          <w:lang w:val="en-US"/>
        </w:rPr>
        <w:t>quarter of 2022</w:t>
      </w:r>
      <w:r w:rsidRPr="00F6035D">
        <w:rPr>
          <w:shd w:val="clear" w:color="auto" w:fill="FFFFFF"/>
          <w:lang w:val="en-US"/>
        </w:rPr>
        <w:t>, there were 659 unemployed and economically inactive per</w:t>
      </w:r>
      <w:r w:rsidR="00EF708C">
        <w:rPr>
          <w:shd w:val="clear" w:color="auto" w:fill="FFFFFF"/>
          <w:lang w:val="en-US"/>
        </w:rPr>
        <w:t>sons per 1000 employed persons (the same</w:t>
      </w:r>
      <w:r w:rsidRPr="00F6035D">
        <w:rPr>
          <w:shd w:val="clear" w:color="auto" w:fill="FFFFFF"/>
          <w:lang w:val="en-US"/>
        </w:rPr>
        <w:t xml:space="preserve"> in the </w:t>
      </w:r>
      <w:r w:rsidR="00EF708C">
        <w:rPr>
          <w:shd w:val="clear" w:color="auto" w:fill="FFFFFF"/>
          <w:lang w:val="en-US"/>
        </w:rPr>
        <w:t>fourth quarter of 2021)</w:t>
      </w:r>
      <w:r w:rsidRPr="00F6035D">
        <w:rPr>
          <w:shd w:val="clear" w:color="auto" w:fill="FFFFFF"/>
          <w:lang w:val="en-US"/>
        </w:rPr>
        <w:t xml:space="preserve">. </w:t>
      </w:r>
    </w:p>
    <w:p w:rsidR="007F2E91" w:rsidRPr="004961CE" w:rsidRDefault="00F15A83" w:rsidP="00EF708C">
      <w:pPr>
        <w:pStyle w:val="tytuwykresu"/>
        <w:rPr>
          <w:szCs w:val="19"/>
          <w:shd w:val="clear" w:color="auto" w:fill="FFFFFF"/>
          <w:lang w:val="en-US"/>
        </w:rPr>
      </w:pPr>
      <w:r>
        <w:rPr>
          <w:noProof/>
          <w:shd w:val="clear" w:color="auto" w:fill="FFFFFF"/>
          <w:lang w:eastAsia="pl-PL"/>
        </w:rPr>
        <w:drawing>
          <wp:anchor distT="0" distB="0" distL="114300" distR="114300" simplePos="0" relativeHeight="252128256" behindDoc="0" locked="0" layoutInCell="1" allowOverlap="1">
            <wp:simplePos x="0" y="0"/>
            <wp:positionH relativeFrom="margin">
              <wp:align>right</wp:align>
            </wp:positionH>
            <wp:positionV relativeFrom="page">
              <wp:posOffset>1962150</wp:posOffset>
            </wp:positionV>
            <wp:extent cx="5122545" cy="2212975"/>
            <wp:effectExtent l="0" t="0" r="1905" b="0"/>
            <wp:wrapTopAndBottom/>
            <wp:docPr id="17" name="Obraz 17" descr="The bar chart presents changes in the economic activity of the population in relation to the fourth quarter of 2021. The data for the chart is available in the attached excel file." title="Chart 2. Changes compared to the fourth quarter of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el wykresy 1 kw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2545" cy="2212975"/>
                    </a:xfrm>
                    <a:prstGeom prst="rect">
                      <a:avLst/>
                    </a:prstGeom>
                  </pic:spPr>
                </pic:pic>
              </a:graphicData>
            </a:graphic>
          </wp:anchor>
        </w:drawing>
      </w:r>
      <w:r w:rsidR="00EF708C" w:rsidRPr="00EF708C">
        <w:rPr>
          <w:shd w:val="clear" w:color="auto" w:fill="FFFFFF"/>
          <w:lang w:val="en-US"/>
        </w:rPr>
        <w:t xml:space="preserve">Chart 2. Changes compared to the </w:t>
      </w:r>
      <w:r w:rsidR="00EF708C">
        <w:rPr>
          <w:shd w:val="clear" w:color="auto" w:fill="FFFFFF"/>
          <w:lang w:val="en-US"/>
        </w:rPr>
        <w:t>fourth</w:t>
      </w:r>
      <w:r w:rsidR="00EF708C" w:rsidRPr="00EF708C">
        <w:rPr>
          <w:shd w:val="clear" w:color="auto" w:fill="FFFFFF"/>
          <w:lang w:val="en-US"/>
        </w:rPr>
        <w:t xml:space="preserve"> quarter of 2021</w:t>
      </w:r>
      <w:r w:rsidR="00EF708C">
        <w:rPr>
          <w:shd w:val="clear" w:color="auto" w:fill="FFFFFF"/>
          <w:lang w:val="en-US"/>
        </w:rPr>
        <w:t xml:space="preserve"> </w:t>
      </w:r>
    </w:p>
    <w:p w:rsidR="00886CD4" w:rsidRPr="004961CE" w:rsidRDefault="007A1F68" w:rsidP="004F2757">
      <w:pPr>
        <w:rPr>
          <w:shd w:val="clear" w:color="auto" w:fill="FFFFFF"/>
          <w:lang w:val="en-US"/>
        </w:rPr>
      </w:pPr>
      <w:r w:rsidRPr="00201C24">
        <w:rPr>
          <w:noProof/>
          <w:color w:val="212492"/>
          <w:szCs w:val="19"/>
          <w:lang w:eastAsia="pl-PL"/>
        </w:rPr>
        <mc:AlternateContent>
          <mc:Choice Requires="wps">
            <w:drawing>
              <wp:anchor distT="45720" distB="45720" distL="114300" distR="114300" simplePos="0" relativeHeight="251938816" behindDoc="1" locked="0" layoutInCell="1" allowOverlap="1" wp14:anchorId="39261F62" wp14:editId="20E194B2">
                <wp:simplePos x="0" y="0"/>
                <wp:positionH relativeFrom="column">
                  <wp:posOffset>5219700</wp:posOffset>
                </wp:positionH>
                <wp:positionV relativeFrom="paragraph">
                  <wp:posOffset>669925</wp:posOffset>
                </wp:positionV>
                <wp:extent cx="1740535" cy="742950"/>
                <wp:effectExtent l="0" t="0" r="0" b="0"/>
                <wp:wrapTight wrapText="bothSides">
                  <wp:wrapPolygon edited="0">
                    <wp:start x="709" y="0"/>
                    <wp:lineTo x="709" y="21046"/>
                    <wp:lineTo x="20804" y="21046"/>
                    <wp:lineTo x="20804" y="0"/>
                    <wp:lineTo x="709" y="0"/>
                  </wp:wrapPolygon>
                </wp:wrapTight>
                <wp:docPr id="7" name="Pole tekstowe 2" descr="The number of unemployed persons increased by almost 31% compared to the previous quarter  " title="Relevan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42950"/>
                        </a:xfrm>
                        <a:prstGeom prst="rect">
                          <a:avLst/>
                        </a:prstGeom>
                        <a:noFill/>
                        <a:ln w="9525">
                          <a:noFill/>
                          <a:miter lim="800000"/>
                          <a:headEnd/>
                          <a:tailEnd/>
                        </a:ln>
                      </wps:spPr>
                      <wps:txbx>
                        <w:txbxContent>
                          <w:p w:rsidR="00091E87" w:rsidRPr="00EF708C" w:rsidRDefault="00091E87" w:rsidP="00EF708C">
                            <w:pPr>
                              <w:pStyle w:val="Istotnainformacja"/>
                              <w:rPr>
                                <w:lang w:val="en-US"/>
                              </w:rPr>
                            </w:pPr>
                            <w:r w:rsidRPr="00EF708C">
                              <w:rPr>
                                <w:lang w:val="en-US"/>
                              </w:rPr>
                              <w:t>The number of unemployed p</w:t>
                            </w:r>
                            <w:r>
                              <w:rPr>
                                <w:lang w:val="en-US"/>
                              </w:rPr>
                              <w:t>ersons in</w:t>
                            </w:r>
                            <w:r w:rsidRPr="00EF708C">
                              <w:rPr>
                                <w:lang w:val="en-US"/>
                              </w:rPr>
                              <w:t xml:space="preserve">creased by </w:t>
                            </w:r>
                            <w:r>
                              <w:rPr>
                                <w:lang w:val="en-US"/>
                              </w:rPr>
                              <w:t>almost 31</w:t>
                            </w:r>
                            <w:r w:rsidRPr="00EF708C">
                              <w:rPr>
                                <w:lang w:val="en-US"/>
                              </w:rPr>
                              <w:t xml:space="preserve">% compared to the previous quarter </w:t>
                            </w:r>
                            <w:r>
                              <w:rPr>
                                <w:lang w:val="en-US"/>
                              </w:rPr>
                              <w:t xml:space="preserve"> </w:t>
                            </w:r>
                          </w:p>
                          <w:p w:rsidR="00091E87" w:rsidRPr="004961CE" w:rsidRDefault="00091E87" w:rsidP="00A6676A">
                            <w:pPr>
                              <w:pStyle w:val="tekstzboku"/>
                              <w:spacing w:before="0"/>
                              <w:rPr>
                                <w:lang w:val="en-US"/>
                              </w:rPr>
                            </w:pPr>
                          </w:p>
                          <w:p w:rsidR="00091E87" w:rsidRPr="004961CE" w:rsidRDefault="00091E87" w:rsidP="00A6676A">
                            <w:pPr>
                              <w:pStyle w:val="tekstzboku"/>
                              <w:spacing w:before="0"/>
                              <w:rPr>
                                <w:lang w:val="en-US"/>
                              </w:rPr>
                            </w:pPr>
                          </w:p>
                          <w:p w:rsidR="00091E87" w:rsidRPr="004961CE" w:rsidRDefault="00091E87" w:rsidP="00A6676A">
                            <w:pPr>
                              <w:pStyle w:val="tekstzboku"/>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1F62" id="_x0000_s1030" type="#_x0000_t202" alt="Tytuł: Relevant information — opis: The number of unemployed persons increased by almost 31% compared to the previous quarter  " style="position:absolute;margin-left:411pt;margin-top:52.75pt;width:137.05pt;height:58.5pt;z-index:-25137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" filled="f" stroked="f">
                <v:textbox>
                  <w:txbxContent>
                    <w:p w:rsidR="00091E87" w:rsidRPr="00EF708C" w:rsidRDefault="00091E87" w:rsidP="00EF708C">
                      <w:pPr>
                        <w:pStyle w:val="Istotnainformacja"/>
                        <w:rPr>
                          <w:lang w:val="en-US"/>
                        </w:rPr>
                      </w:pPr>
                      <w:r w:rsidRPr="00EF708C">
                        <w:rPr>
                          <w:lang w:val="en-US"/>
                        </w:rPr>
                        <w:t>The number of unemployed p</w:t>
                      </w:r>
                      <w:r>
                        <w:rPr>
                          <w:lang w:val="en-US"/>
                        </w:rPr>
                        <w:t>ersons in</w:t>
                      </w:r>
                      <w:r w:rsidRPr="00EF708C">
                        <w:rPr>
                          <w:lang w:val="en-US"/>
                        </w:rPr>
                        <w:t xml:space="preserve">creased by </w:t>
                      </w:r>
                      <w:r>
                        <w:rPr>
                          <w:lang w:val="en-US"/>
                        </w:rPr>
                        <w:t>almost 31</w:t>
                      </w:r>
                      <w:r w:rsidRPr="00EF708C">
                        <w:rPr>
                          <w:lang w:val="en-US"/>
                        </w:rPr>
                        <w:t xml:space="preserve">% compared to the previous quarter </w:t>
                      </w:r>
                      <w:r>
                        <w:rPr>
                          <w:lang w:val="en-US"/>
                        </w:rPr>
                        <w:t xml:space="preserve"> </w:t>
                      </w:r>
                    </w:p>
                    <w:p w:rsidR="00091E87" w:rsidRPr="004961CE" w:rsidRDefault="00091E87" w:rsidP="00A6676A">
                      <w:pPr>
                        <w:pStyle w:val="tekstzboku"/>
                        <w:spacing w:before="0"/>
                        <w:rPr>
                          <w:lang w:val="en-US"/>
                        </w:rPr>
                      </w:pPr>
                    </w:p>
                    <w:p w:rsidR="00091E87" w:rsidRPr="004961CE" w:rsidRDefault="00091E87" w:rsidP="00A6676A">
                      <w:pPr>
                        <w:pStyle w:val="tekstzboku"/>
                        <w:spacing w:before="0"/>
                        <w:rPr>
                          <w:lang w:val="en-US"/>
                        </w:rPr>
                      </w:pPr>
                    </w:p>
                    <w:p w:rsidR="00091E87" w:rsidRPr="004961CE" w:rsidRDefault="00091E87" w:rsidP="00A6676A">
                      <w:pPr>
                        <w:pStyle w:val="tekstzboku"/>
                        <w:rPr>
                          <w:lang w:val="en-US"/>
                        </w:rPr>
                      </w:pPr>
                    </w:p>
                  </w:txbxContent>
                </v:textbox>
                <w10:wrap type="tight"/>
              </v:shape>
            </w:pict>
          </mc:Fallback>
        </mc:AlternateContent>
      </w:r>
    </w:p>
    <w:p w:rsidR="004B4D47" w:rsidRPr="004961CE" w:rsidRDefault="004B4D47" w:rsidP="004F2757">
      <w:pPr>
        <w:rPr>
          <w:shd w:val="clear" w:color="auto" w:fill="FFFFFF"/>
          <w:lang w:val="en-US"/>
        </w:rPr>
      </w:pPr>
    </w:p>
    <w:p w:rsidR="00EF708C" w:rsidRPr="00EF708C" w:rsidRDefault="00EF708C" w:rsidP="00EF708C">
      <w:pPr>
        <w:rPr>
          <w:shd w:val="clear" w:color="auto" w:fill="FFFFFF"/>
          <w:lang w:val="en-US"/>
        </w:rPr>
      </w:pPr>
      <w:r w:rsidRPr="00EF708C">
        <w:rPr>
          <w:shd w:val="clear" w:color="auto" w:fill="FFFFFF"/>
          <w:lang w:val="en-US"/>
        </w:rPr>
        <w:t>The</w:t>
      </w:r>
      <w:r>
        <w:rPr>
          <w:shd w:val="clear" w:color="auto" w:fill="FFFFFF"/>
          <w:lang w:val="en-US"/>
        </w:rPr>
        <w:t xml:space="preserve"> economic activity rate was 62.1% and increased by 0.4</w:t>
      </w:r>
      <w:r w:rsidRPr="00EF708C">
        <w:rPr>
          <w:shd w:val="clear" w:color="auto" w:fill="FFFFFF"/>
          <w:lang w:val="en-US"/>
        </w:rPr>
        <w:t xml:space="preserve"> pp compared to the p</w:t>
      </w:r>
      <w:r>
        <w:rPr>
          <w:shd w:val="clear" w:color="auto" w:fill="FFFFFF"/>
          <w:lang w:val="en-US"/>
        </w:rPr>
        <w:t>revious quarter. There was an in</w:t>
      </w:r>
      <w:r w:rsidRPr="00EF708C">
        <w:rPr>
          <w:shd w:val="clear" w:color="auto" w:fill="FFFFFF"/>
          <w:lang w:val="en-US"/>
        </w:rPr>
        <w:t xml:space="preserve">crease in the level of economic activity among </w:t>
      </w:r>
      <w:r>
        <w:rPr>
          <w:shd w:val="clear" w:color="auto" w:fill="FFFFFF"/>
          <w:lang w:val="en-US"/>
        </w:rPr>
        <w:t>women (by 1.1</w:t>
      </w:r>
      <w:r w:rsidRPr="00EF708C">
        <w:rPr>
          <w:shd w:val="clear" w:color="auto" w:fill="FFFFFF"/>
          <w:lang w:val="en-US"/>
        </w:rPr>
        <w:t xml:space="preserve"> pp) and </w:t>
      </w:r>
      <w:r>
        <w:rPr>
          <w:shd w:val="clear" w:color="auto" w:fill="FFFFFF"/>
          <w:lang w:val="en-US"/>
        </w:rPr>
        <w:t>a decrease among men (by 0.4</w:t>
      </w:r>
      <w:r w:rsidRPr="00EF708C">
        <w:rPr>
          <w:shd w:val="clear" w:color="auto" w:fill="FFFFFF"/>
          <w:lang w:val="en-US"/>
        </w:rPr>
        <w:t xml:space="preserve"> pp). This indicator increased </w:t>
      </w:r>
      <w:r>
        <w:rPr>
          <w:shd w:val="clear" w:color="auto" w:fill="FFFFFF"/>
          <w:lang w:val="en-US"/>
        </w:rPr>
        <w:t xml:space="preserve">both </w:t>
      </w:r>
      <w:r w:rsidRPr="00EF708C">
        <w:rPr>
          <w:shd w:val="clear" w:color="auto" w:fill="FFFFFF"/>
          <w:lang w:val="en-US"/>
        </w:rPr>
        <w:t xml:space="preserve">in rural </w:t>
      </w:r>
      <w:r>
        <w:rPr>
          <w:shd w:val="clear" w:color="auto" w:fill="FFFFFF"/>
          <w:lang w:val="en-US"/>
        </w:rPr>
        <w:t>(by 0.7 pp)</w:t>
      </w:r>
      <w:r w:rsidRPr="00EF708C">
        <w:rPr>
          <w:shd w:val="clear" w:color="auto" w:fill="FFFFFF"/>
          <w:lang w:val="en-US"/>
        </w:rPr>
        <w:t xml:space="preserve"> and in urban areas</w:t>
      </w:r>
      <w:r>
        <w:rPr>
          <w:shd w:val="clear" w:color="auto" w:fill="FFFFFF"/>
          <w:lang w:val="en-US"/>
        </w:rPr>
        <w:t xml:space="preserve"> (0.3</w:t>
      </w:r>
      <w:r w:rsidRPr="00EF708C">
        <w:rPr>
          <w:shd w:val="clear" w:color="auto" w:fill="FFFFFF"/>
          <w:lang w:val="en-US"/>
        </w:rPr>
        <w:t xml:space="preserve"> pp).  </w:t>
      </w:r>
      <w:r>
        <w:rPr>
          <w:shd w:val="clear" w:color="auto" w:fill="FFFFFF"/>
          <w:lang w:val="en-US"/>
        </w:rPr>
        <w:t xml:space="preserve"> </w:t>
      </w:r>
    </w:p>
    <w:p w:rsidR="00B93BE1" w:rsidRPr="00B93BE1" w:rsidRDefault="00F15A83" w:rsidP="00B93BE1">
      <w:pPr>
        <w:rPr>
          <w:b/>
          <w:spacing w:val="-2"/>
          <w:shd w:val="clear" w:color="auto" w:fill="FFFFFF"/>
          <w:lang w:val="en-US"/>
        </w:rPr>
      </w:pPr>
      <w:r>
        <w:rPr>
          <w:noProof/>
          <w:szCs w:val="19"/>
          <w:shd w:val="clear" w:color="auto" w:fill="FFFFFF"/>
          <w:lang w:eastAsia="pl-PL"/>
        </w:rPr>
        <w:drawing>
          <wp:anchor distT="0" distB="0" distL="114300" distR="114300" simplePos="0" relativeHeight="252129280" behindDoc="0" locked="0" layoutInCell="1" allowOverlap="1">
            <wp:simplePos x="0" y="0"/>
            <wp:positionH relativeFrom="margin">
              <wp:align>right</wp:align>
            </wp:positionH>
            <wp:positionV relativeFrom="page">
              <wp:posOffset>5753100</wp:posOffset>
            </wp:positionV>
            <wp:extent cx="5122545" cy="1802765"/>
            <wp:effectExtent l="0" t="0" r="1905" b="6985"/>
            <wp:wrapTopAndBottom/>
            <wp:docPr id="19" name="Obraz 19" descr="The bar chart shows the economic activity of the population by labour market status and by economic activity indicators in the 1st quarter of 2022. The data for the chart is available in the attached excel file." title="Chart 3. Economic activity of population in the first quarter of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el wykresy 1 kw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2545" cy="1802765"/>
                    </a:xfrm>
                    <a:prstGeom prst="rect">
                      <a:avLst/>
                    </a:prstGeom>
                  </pic:spPr>
                </pic:pic>
              </a:graphicData>
            </a:graphic>
          </wp:anchor>
        </w:drawing>
      </w:r>
      <w:r w:rsidR="00B93BE1" w:rsidRPr="00B93BE1">
        <w:rPr>
          <w:b/>
          <w:spacing w:val="-2"/>
          <w:shd w:val="clear" w:color="auto" w:fill="FFFFFF"/>
          <w:lang w:val="en-US"/>
        </w:rPr>
        <w:t xml:space="preserve">Chart 3. Economic activity of population in the </w:t>
      </w:r>
      <w:r w:rsidR="00B93BE1">
        <w:rPr>
          <w:b/>
          <w:spacing w:val="-2"/>
          <w:shd w:val="clear" w:color="auto" w:fill="FFFFFF"/>
          <w:lang w:val="en-US"/>
        </w:rPr>
        <w:t>first quarter of 2022</w:t>
      </w:r>
    </w:p>
    <w:p w:rsidR="00F41086" w:rsidRPr="004961CE" w:rsidRDefault="00F41086" w:rsidP="004B4D47">
      <w:pPr>
        <w:pStyle w:val="tytuwykresu"/>
        <w:rPr>
          <w:szCs w:val="19"/>
          <w:shd w:val="clear" w:color="auto" w:fill="FFFFFF"/>
          <w:lang w:val="en-US"/>
        </w:rPr>
      </w:pPr>
    </w:p>
    <w:p w:rsidR="00A752FF" w:rsidRPr="00A752FF" w:rsidRDefault="00A752FF" w:rsidP="00A752FF">
      <w:pPr>
        <w:rPr>
          <w:shd w:val="clear" w:color="auto" w:fill="FFFFFF"/>
          <w:lang w:val="en-US"/>
        </w:rPr>
      </w:pPr>
      <w:r w:rsidRPr="00A752FF">
        <w:rPr>
          <w:shd w:val="clear" w:color="auto" w:fill="FFFFFF"/>
          <w:lang w:val="en-US"/>
        </w:rPr>
        <w:t>The highest value of the rate in terms of age was recorded for the age gro</w:t>
      </w:r>
      <w:r>
        <w:rPr>
          <w:shd w:val="clear" w:color="auto" w:fill="FFFFFF"/>
          <w:lang w:val="en-US"/>
        </w:rPr>
        <w:t>up 35–44, which amounted to 91.9</w:t>
      </w:r>
      <w:r w:rsidRPr="00A752FF">
        <w:rPr>
          <w:shd w:val="clear" w:color="auto" w:fill="FFFFFF"/>
          <w:lang w:val="en-US"/>
        </w:rPr>
        <w:t>%, while the lowest</w:t>
      </w:r>
      <w:r>
        <w:rPr>
          <w:shd w:val="clear" w:color="auto" w:fill="FFFFFF"/>
          <w:lang w:val="en-US"/>
        </w:rPr>
        <w:t xml:space="preserve"> among persons aged 55-89 – 30.3</w:t>
      </w:r>
      <w:r w:rsidRPr="00A752FF">
        <w:rPr>
          <w:shd w:val="clear" w:color="auto" w:fill="FFFFFF"/>
          <w:lang w:val="en-US"/>
        </w:rPr>
        <w:t xml:space="preserve">%. For working age population, this </w:t>
      </w:r>
      <w:r>
        <w:rPr>
          <w:shd w:val="clear" w:color="auto" w:fill="FFFFFF"/>
          <w:lang w:val="en-US"/>
        </w:rPr>
        <w:t>rate was 84</w:t>
      </w:r>
      <w:r w:rsidRPr="00A752FF">
        <w:rPr>
          <w:shd w:val="clear" w:color="auto" w:fill="FFFFFF"/>
          <w:lang w:val="en-US"/>
        </w:rPr>
        <w:t xml:space="preserve">.4%.    </w:t>
      </w:r>
    </w:p>
    <w:p w:rsidR="006E5323" w:rsidRPr="00A752FF" w:rsidRDefault="00A752FF" w:rsidP="003B7E49">
      <w:pPr>
        <w:pStyle w:val="Nagwek1"/>
        <w:rPr>
          <w:shd w:val="clear" w:color="auto" w:fill="FFFFFF"/>
          <w:lang w:val="en-US"/>
        </w:rPr>
      </w:pPr>
      <w:r w:rsidRPr="00A752FF">
        <w:rPr>
          <w:shd w:val="clear" w:color="auto" w:fill="FFFFFF"/>
          <w:lang w:val="en-US"/>
        </w:rPr>
        <w:t>Employed persons</w:t>
      </w:r>
    </w:p>
    <w:p w:rsidR="00A752FF" w:rsidRPr="00A752FF" w:rsidRDefault="00A752FF" w:rsidP="00A752FF">
      <w:pPr>
        <w:rPr>
          <w:shd w:val="clear" w:color="auto" w:fill="FFFFFF"/>
          <w:lang w:val="en-US"/>
        </w:rPr>
      </w:pPr>
      <w:r w:rsidRPr="00A752FF">
        <w:rPr>
          <w:shd w:val="clear" w:color="auto" w:fill="FFFFFF"/>
          <w:lang w:val="en-US"/>
        </w:rPr>
        <w:t xml:space="preserve">In the </w:t>
      </w:r>
      <w:r>
        <w:rPr>
          <w:shd w:val="clear" w:color="auto" w:fill="FFFFFF"/>
          <w:lang w:val="en-US"/>
        </w:rPr>
        <w:t>first</w:t>
      </w:r>
      <w:r w:rsidRPr="00A752FF">
        <w:rPr>
          <w:shd w:val="clear" w:color="auto" w:fill="FFFFFF"/>
          <w:lang w:val="en-US"/>
        </w:rPr>
        <w:t xml:space="preserve"> quarter of 202</w:t>
      </w:r>
      <w:r w:rsidR="00C0096A">
        <w:rPr>
          <w:shd w:val="clear" w:color="auto" w:fill="FFFFFF"/>
          <w:lang w:val="en-US"/>
        </w:rPr>
        <w:t>2</w:t>
      </w:r>
      <w:r w:rsidRPr="00A752FF">
        <w:rPr>
          <w:shd w:val="clear" w:color="auto" w:fill="FFFFFF"/>
          <w:lang w:val="en-US"/>
        </w:rPr>
        <w:t xml:space="preserve">, in </w:t>
      </w:r>
      <w:proofErr w:type="spellStart"/>
      <w:r w:rsidRPr="00A752FF">
        <w:rPr>
          <w:shd w:val="clear" w:color="auto" w:fill="FFFFFF"/>
          <w:lang w:val="en-US"/>
        </w:rPr>
        <w:t>Mazowieckie</w:t>
      </w:r>
      <w:proofErr w:type="spellEnd"/>
      <w:r w:rsidRPr="00A752FF">
        <w:rPr>
          <w:shd w:val="clear" w:color="auto" w:fill="FFFFFF"/>
          <w:lang w:val="en-US"/>
        </w:rPr>
        <w:t xml:space="preserve"> Voivodship, the population of employed persons counted 2593 thousand persons, and the employment rate was estimated at 60.3% (</w:t>
      </w:r>
      <w:r>
        <w:rPr>
          <w:shd w:val="clear" w:color="auto" w:fill="FFFFFF"/>
          <w:lang w:val="en-US"/>
        </w:rPr>
        <w:t xml:space="preserve">no changes </w:t>
      </w:r>
      <w:r w:rsidRPr="00A752FF">
        <w:rPr>
          <w:shd w:val="clear" w:color="auto" w:fill="FFFFFF"/>
          <w:lang w:val="en-US"/>
        </w:rPr>
        <w:t xml:space="preserve">compared to the previous quarter). </w:t>
      </w:r>
    </w:p>
    <w:p w:rsidR="00A752FF" w:rsidRPr="00A752FF" w:rsidRDefault="00A752FF" w:rsidP="00A752FF">
      <w:pPr>
        <w:rPr>
          <w:b/>
          <w:shd w:val="clear" w:color="auto" w:fill="FFFFFF"/>
          <w:lang w:val="en-US"/>
        </w:rPr>
      </w:pPr>
      <w:r w:rsidRPr="00A752FF">
        <w:rPr>
          <w:shd w:val="clear" w:color="auto" w:fill="FFFFFF"/>
          <w:lang w:val="en-US"/>
        </w:rPr>
        <w:t xml:space="preserve">Compared to the </w:t>
      </w:r>
      <w:r>
        <w:rPr>
          <w:shd w:val="clear" w:color="auto" w:fill="FFFFFF"/>
          <w:lang w:val="en-US"/>
        </w:rPr>
        <w:t>fourth</w:t>
      </w:r>
      <w:r w:rsidRPr="00A752FF">
        <w:rPr>
          <w:shd w:val="clear" w:color="auto" w:fill="FFFFFF"/>
          <w:lang w:val="en-US"/>
        </w:rPr>
        <w:t xml:space="preserve"> quarter of 2021, the number of employed persons decreased (</w:t>
      </w:r>
      <w:r>
        <w:rPr>
          <w:shd w:val="clear" w:color="auto" w:fill="FFFFFF"/>
          <w:lang w:val="en-US"/>
        </w:rPr>
        <w:t>by 2 thousand</w:t>
      </w:r>
      <w:r w:rsidRPr="00A752FF">
        <w:rPr>
          <w:shd w:val="clear" w:color="auto" w:fill="FFFFFF"/>
          <w:lang w:val="en-US"/>
        </w:rPr>
        <w:t xml:space="preserve">). There was a decrease </w:t>
      </w:r>
      <w:r>
        <w:rPr>
          <w:shd w:val="clear" w:color="auto" w:fill="FFFFFF"/>
          <w:lang w:val="en-US"/>
        </w:rPr>
        <w:t>among men (by 18 thousand</w:t>
      </w:r>
      <w:r w:rsidRPr="00A752FF">
        <w:rPr>
          <w:shd w:val="clear" w:color="auto" w:fill="FFFFFF"/>
          <w:lang w:val="en-US"/>
        </w:rPr>
        <w:t xml:space="preserve">), and an increase among  </w:t>
      </w:r>
      <w:r>
        <w:rPr>
          <w:shd w:val="clear" w:color="auto" w:fill="FFFFFF"/>
          <w:lang w:val="en-US"/>
        </w:rPr>
        <w:t>women (by 16 thousand</w:t>
      </w:r>
      <w:r w:rsidRPr="00A752FF">
        <w:rPr>
          <w:shd w:val="clear" w:color="auto" w:fill="FFFFFF"/>
          <w:lang w:val="en-US"/>
        </w:rPr>
        <w:t>). T</w:t>
      </w:r>
      <w:r>
        <w:rPr>
          <w:shd w:val="clear" w:color="auto" w:fill="FFFFFF"/>
          <w:lang w:val="en-US"/>
        </w:rPr>
        <w:t>he number of employed persons de</w:t>
      </w:r>
      <w:r w:rsidRPr="00A752FF">
        <w:rPr>
          <w:shd w:val="clear" w:color="auto" w:fill="FFFFFF"/>
          <w:lang w:val="en-US"/>
        </w:rPr>
        <w:t xml:space="preserve">creased in </w:t>
      </w:r>
      <w:r>
        <w:rPr>
          <w:shd w:val="clear" w:color="auto" w:fill="FFFFFF"/>
          <w:lang w:val="en-US"/>
        </w:rPr>
        <w:t>urban</w:t>
      </w:r>
      <w:r w:rsidRPr="00A752FF">
        <w:rPr>
          <w:shd w:val="clear" w:color="auto" w:fill="FFFFFF"/>
          <w:lang w:val="en-US"/>
        </w:rPr>
        <w:t xml:space="preserve"> areas</w:t>
      </w:r>
      <w:r>
        <w:rPr>
          <w:shd w:val="clear" w:color="auto" w:fill="FFFFFF"/>
          <w:lang w:val="en-US"/>
        </w:rPr>
        <w:t xml:space="preserve"> (by 9 thousand</w:t>
      </w:r>
      <w:r w:rsidRPr="00A752FF">
        <w:rPr>
          <w:shd w:val="clear" w:color="auto" w:fill="FFFFFF"/>
          <w:lang w:val="en-US"/>
        </w:rPr>
        <w:t>), and</w:t>
      </w:r>
      <w:r w:rsidR="004E5D10">
        <w:rPr>
          <w:shd w:val="clear" w:color="auto" w:fill="FFFFFF"/>
          <w:lang w:val="en-US"/>
        </w:rPr>
        <w:t xml:space="preserve"> in</w:t>
      </w:r>
      <w:r w:rsidRPr="00A752FF">
        <w:rPr>
          <w:shd w:val="clear" w:color="auto" w:fill="FFFFFF"/>
          <w:lang w:val="en-US"/>
        </w:rPr>
        <w:t xml:space="preserve">creased in </w:t>
      </w:r>
      <w:r w:rsidR="004E5D10">
        <w:rPr>
          <w:shd w:val="clear" w:color="auto" w:fill="FFFFFF"/>
          <w:lang w:val="en-US"/>
        </w:rPr>
        <w:t>rural areas (by 7 thousand</w:t>
      </w:r>
      <w:r w:rsidRPr="00A752FF">
        <w:rPr>
          <w:shd w:val="clear" w:color="auto" w:fill="FFFFFF"/>
          <w:lang w:val="en-US"/>
        </w:rPr>
        <w:t xml:space="preserve">).  </w:t>
      </w:r>
      <w:r>
        <w:rPr>
          <w:shd w:val="clear" w:color="auto" w:fill="FFFFFF"/>
          <w:lang w:val="en-US"/>
        </w:rPr>
        <w:t xml:space="preserve"> </w:t>
      </w:r>
    </w:p>
    <w:p w:rsidR="00730371" w:rsidRPr="004E5D10" w:rsidRDefault="00F15A83" w:rsidP="00D139A5">
      <w:pPr>
        <w:pStyle w:val="tytuwykresu"/>
        <w:rPr>
          <w:shd w:val="clear" w:color="auto" w:fill="FFFFFF"/>
          <w:lang w:val="en-US"/>
        </w:rPr>
      </w:pPr>
      <w:r>
        <w:rPr>
          <w:b w:val="0"/>
          <w:noProof/>
          <w:sz w:val="18"/>
          <w:szCs w:val="18"/>
          <w:shd w:val="clear" w:color="auto" w:fill="FFFFFF"/>
          <w:lang w:eastAsia="pl-PL"/>
        </w:rPr>
        <w:lastRenderedPageBreak/>
        <w:drawing>
          <wp:anchor distT="0" distB="0" distL="114300" distR="114300" simplePos="0" relativeHeight="252131328" behindDoc="0" locked="0" layoutInCell="1" allowOverlap="1">
            <wp:simplePos x="0" y="0"/>
            <wp:positionH relativeFrom="margin">
              <wp:align>right</wp:align>
            </wp:positionH>
            <wp:positionV relativeFrom="page">
              <wp:posOffset>876300</wp:posOffset>
            </wp:positionV>
            <wp:extent cx="5122545" cy="1518285"/>
            <wp:effectExtent l="0" t="0" r="1905" b="5715"/>
            <wp:wrapTopAndBottom/>
            <wp:docPr id="35" name="Obraz 35" descr="The structure of the employed by employment status in the first quarter of 2022 is presented in two pie charts. The data for the chart is available in the attached excel file." title="Chart 5. Structure of employed persons by employment status in the first quarter of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el wykresy 1 kw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2545" cy="1518285"/>
                    </a:xfrm>
                    <a:prstGeom prst="rect">
                      <a:avLst/>
                    </a:prstGeom>
                  </pic:spPr>
                </pic:pic>
              </a:graphicData>
            </a:graphic>
          </wp:anchor>
        </w:drawing>
      </w:r>
      <w:r w:rsidR="004E5D10" w:rsidRPr="004E5D10">
        <w:rPr>
          <w:shd w:val="clear" w:color="auto" w:fill="FFFFFF"/>
          <w:lang w:val="en-US"/>
        </w:rPr>
        <w:t xml:space="preserve">Chart 4. Structure of employed persons by age and education in the </w:t>
      </w:r>
      <w:r w:rsidR="004E5D10">
        <w:rPr>
          <w:shd w:val="clear" w:color="auto" w:fill="FFFFFF"/>
          <w:lang w:val="en-US"/>
        </w:rPr>
        <w:t>first quarter of 2022</w:t>
      </w:r>
    </w:p>
    <w:p w:rsidR="006F0DD2" w:rsidRPr="004961CE" w:rsidRDefault="006F0DD2" w:rsidP="00B21B4B">
      <w:pPr>
        <w:pStyle w:val="tytuwykresu"/>
        <w:rPr>
          <w:shd w:val="clear" w:color="auto" w:fill="FFFFFF"/>
          <w:lang w:val="en-US"/>
        </w:rPr>
      </w:pPr>
    </w:p>
    <w:p w:rsidR="004E5D10" w:rsidRPr="004E5D10" w:rsidRDefault="004E5D10" w:rsidP="004E5D10">
      <w:pPr>
        <w:spacing w:before="0" w:after="0"/>
        <w:rPr>
          <w:shd w:val="clear" w:color="auto" w:fill="FFFFFF"/>
          <w:lang w:val="en-US"/>
        </w:rPr>
      </w:pPr>
      <w:r w:rsidRPr="004E5D10">
        <w:rPr>
          <w:shd w:val="clear" w:color="auto" w:fill="FFFFFF"/>
          <w:lang w:val="en-US"/>
        </w:rPr>
        <w:t xml:space="preserve">In the </w:t>
      </w:r>
      <w:r w:rsidR="00AD17C9">
        <w:rPr>
          <w:shd w:val="clear" w:color="auto" w:fill="FFFFFF"/>
          <w:lang w:val="en-US"/>
        </w:rPr>
        <w:t>first quarter of 2022</w:t>
      </w:r>
      <w:r w:rsidRPr="004E5D10">
        <w:rPr>
          <w:shd w:val="clear" w:color="auto" w:fill="FFFFFF"/>
          <w:lang w:val="en-US"/>
        </w:rPr>
        <w:t>, the highest employment rate was recor</w:t>
      </w:r>
      <w:r w:rsidR="00AD17C9">
        <w:rPr>
          <w:shd w:val="clear" w:color="auto" w:fill="FFFFFF"/>
          <w:lang w:val="en-US"/>
        </w:rPr>
        <w:t>ded among persons aged 35–44 (89.9</w:t>
      </w:r>
      <w:r w:rsidRPr="004E5D10">
        <w:rPr>
          <w:shd w:val="clear" w:color="auto" w:fill="FFFFFF"/>
          <w:lang w:val="en-US"/>
        </w:rPr>
        <w:t>%), and the low</w:t>
      </w:r>
      <w:r w:rsidR="00AD17C9">
        <w:rPr>
          <w:shd w:val="clear" w:color="auto" w:fill="FFFFFF"/>
          <w:lang w:val="en-US"/>
        </w:rPr>
        <w:t>est among persons aged 55–89 (29.7</w:t>
      </w:r>
      <w:r w:rsidRPr="004E5D10">
        <w:rPr>
          <w:shd w:val="clear" w:color="auto" w:fill="FFFFFF"/>
          <w:lang w:val="en-US"/>
        </w:rPr>
        <w:t xml:space="preserve">%). The highest increase of the rate was recorded </w:t>
      </w:r>
      <w:r w:rsidR="00761CE6">
        <w:rPr>
          <w:shd w:val="clear" w:color="auto" w:fill="FFFFFF"/>
          <w:lang w:val="en-US"/>
        </w:rPr>
        <w:t>among persons aged 25-3</w:t>
      </w:r>
      <w:r w:rsidRPr="004E5D10">
        <w:rPr>
          <w:shd w:val="clear" w:color="auto" w:fill="FFFFFF"/>
          <w:lang w:val="en-US"/>
        </w:rPr>
        <w:t>4 (by 2.3 pp), and the highe</w:t>
      </w:r>
      <w:r w:rsidR="00761CE6">
        <w:rPr>
          <w:shd w:val="clear" w:color="auto" w:fill="FFFFFF"/>
          <w:lang w:val="en-US"/>
        </w:rPr>
        <w:t>st decrease among persons aged 55-89</w:t>
      </w:r>
      <w:r w:rsidRPr="004E5D10">
        <w:rPr>
          <w:shd w:val="clear" w:color="auto" w:fill="FFFFFF"/>
          <w:lang w:val="en-US"/>
        </w:rPr>
        <w:t xml:space="preserve"> (by 0</w:t>
      </w:r>
      <w:r w:rsidR="00761CE6">
        <w:rPr>
          <w:shd w:val="clear" w:color="auto" w:fill="FFFFFF"/>
          <w:lang w:val="en-US"/>
        </w:rPr>
        <w:t>.9</w:t>
      </w:r>
      <w:r w:rsidRPr="004E5D10">
        <w:rPr>
          <w:shd w:val="clear" w:color="auto" w:fill="FFFFFF"/>
          <w:lang w:val="en-US"/>
        </w:rPr>
        <w:t xml:space="preserve"> pp). </w:t>
      </w:r>
    </w:p>
    <w:p w:rsidR="00761CE6" w:rsidRPr="00761CE6" w:rsidRDefault="00761CE6" w:rsidP="00761CE6">
      <w:pPr>
        <w:rPr>
          <w:shd w:val="clear" w:color="auto" w:fill="FFFFFF"/>
          <w:lang w:val="en-US"/>
        </w:rPr>
      </w:pPr>
      <w:r w:rsidRPr="00761CE6">
        <w:rPr>
          <w:shd w:val="clear" w:color="auto" w:fill="FFFFFF"/>
          <w:lang w:val="en-US"/>
        </w:rPr>
        <w:t xml:space="preserve">For working age population, </w:t>
      </w:r>
      <w:r>
        <w:rPr>
          <w:shd w:val="clear" w:color="auto" w:fill="FFFFFF"/>
          <w:lang w:val="en-US"/>
        </w:rPr>
        <w:t>the employment rate reached 81.8</w:t>
      </w:r>
      <w:r w:rsidRPr="00761CE6">
        <w:rPr>
          <w:shd w:val="clear" w:color="auto" w:fill="FFFFFF"/>
          <w:lang w:val="en-US"/>
        </w:rPr>
        <w:t>% (</w:t>
      </w:r>
      <w:r>
        <w:rPr>
          <w:shd w:val="clear" w:color="auto" w:fill="FFFFFF"/>
          <w:lang w:val="en-US"/>
        </w:rPr>
        <w:t>a 0.4</w:t>
      </w:r>
      <w:r w:rsidRPr="00761CE6">
        <w:rPr>
          <w:shd w:val="clear" w:color="auto" w:fill="FFFFFF"/>
          <w:lang w:val="en-US"/>
        </w:rPr>
        <w:t xml:space="preserve"> pp increase compared to the </w:t>
      </w:r>
      <w:r>
        <w:rPr>
          <w:shd w:val="clear" w:color="auto" w:fill="FFFFFF"/>
          <w:lang w:val="en-US"/>
        </w:rPr>
        <w:t>fourth</w:t>
      </w:r>
      <w:r w:rsidRPr="00761CE6">
        <w:rPr>
          <w:shd w:val="clear" w:color="auto" w:fill="FFFFFF"/>
          <w:lang w:val="en-US"/>
        </w:rPr>
        <w:t xml:space="preserve"> quarter 2021).  </w:t>
      </w:r>
    </w:p>
    <w:p w:rsidR="00612F64" w:rsidRPr="00682001" w:rsidRDefault="00682001" w:rsidP="00612F64">
      <w:pPr>
        <w:rPr>
          <w:shd w:val="clear" w:color="auto" w:fill="FFFFFF"/>
          <w:lang w:val="en-US"/>
        </w:rPr>
      </w:pPr>
      <w:r w:rsidRPr="00A86CFF">
        <w:rPr>
          <w:b/>
          <w:bCs/>
          <w:noProof/>
          <w:color w:val="001D77"/>
          <w:shd w:val="clear" w:color="auto" w:fill="FFFFFF"/>
          <w:lang w:eastAsia="pl-PL"/>
        </w:rPr>
        <mc:AlternateContent>
          <mc:Choice Requires="wps">
            <w:drawing>
              <wp:anchor distT="0" distB="0" distL="114300" distR="114300" simplePos="0" relativeHeight="251741184" behindDoc="0" locked="0" layoutInCell="1" allowOverlap="1" wp14:anchorId="22D9E249" wp14:editId="3963F7FC">
                <wp:simplePos x="0" y="0"/>
                <wp:positionH relativeFrom="column">
                  <wp:posOffset>5210175</wp:posOffset>
                </wp:positionH>
                <wp:positionV relativeFrom="paragraph">
                  <wp:posOffset>907415</wp:posOffset>
                </wp:positionV>
                <wp:extent cx="1771650" cy="485775"/>
                <wp:effectExtent l="0" t="0" r="0" b="0"/>
                <wp:wrapNone/>
                <wp:docPr id="13" name="Pole tekstowe 13" descr="Nearly 68% of total employed persons worked in the private" title="Relevant information"/>
                <wp:cNvGraphicFramePr/>
                <a:graphic xmlns:a="http://schemas.openxmlformats.org/drawingml/2006/main">
                  <a:graphicData uri="http://schemas.microsoft.com/office/word/2010/wordprocessingShape">
                    <wps:wsp>
                      <wps:cNvSpPr txBox="1"/>
                      <wps:spPr>
                        <a:xfrm>
                          <a:off x="0" y="0"/>
                          <a:ext cx="1771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682001" w:rsidRDefault="00091E87" w:rsidP="00682001">
                            <w:pPr>
                              <w:pStyle w:val="Istotnainformacja"/>
                              <w:rPr>
                                <w:lang w:val="en-US"/>
                              </w:rPr>
                            </w:pPr>
                            <w:r w:rsidRPr="00682001">
                              <w:rPr>
                                <w:lang w:val="en-US"/>
                              </w:rPr>
                              <w:t>Nearly 68% of total employed persons worked in the private</w:t>
                            </w:r>
                          </w:p>
                          <w:p w:rsidR="00091E87" w:rsidRPr="004961CE" w:rsidRDefault="00091E87" w:rsidP="00A86CF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E249" id="Pole tekstowe 13" o:spid="_x0000_s1031" type="#_x0000_t202" alt="Tytuł: Relevant information — opis: Nearly 68% of total employed persons worked in the private" style="position:absolute;margin-left:410.25pt;margin-top:71.45pt;width:139.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" filled="f" stroked="f" strokeweight=".5pt">
                <v:textbox>
                  <w:txbxContent>
                    <w:p w:rsidR="00091E87" w:rsidRPr="00682001" w:rsidRDefault="00091E87" w:rsidP="00682001">
                      <w:pPr>
                        <w:pStyle w:val="Istotnainformacja"/>
                        <w:rPr>
                          <w:lang w:val="en-US"/>
                        </w:rPr>
                      </w:pPr>
                      <w:r w:rsidRPr="00682001">
                        <w:rPr>
                          <w:lang w:val="en-US"/>
                        </w:rPr>
                        <w:t>Nearly 68% of total employed persons worked in the private</w:t>
                      </w:r>
                    </w:p>
                    <w:p w:rsidR="00091E87" w:rsidRPr="004961CE" w:rsidRDefault="00091E87" w:rsidP="00A86CFF">
                      <w:pPr>
                        <w:rPr>
                          <w:lang w:val="en-US"/>
                        </w:rPr>
                      </w:pPr>
                    </w:p>
                  </w:txbxContent>
                </v:textbox>
              </v:shape>
            </w:pict>
          </mc:Fallback>
        </mc:AlternateContent>
      </w:r>
      <w:r w:rsidR="00761CE6" w:rsidRPr="00761CE6">
        <w:rPr>
          <w:shd w:val="clear" w:color="auto" w:fill="FFFFFF"/>
          <w:lang w:val="en-US"/>
        </w:rPr>
        <w:t>Among employed persons according to the level of education, the highest employment rate recorded pe</w:t>
      </w:r>
      <w:r w:rsidR="00807102">
        <w:rPr>
          <w:shd w:val="clear" w:color="auto" w:fill="FFFFFF"/>
          <w:lang w:val="en-US"/>
        </w:rPr>
        <w:t>rsons with higher education – 81.8</w:t>
      </w:r>
      <w:r w:rsidR="00761CE6" w:rsidRPr="00761CE6">
        <w:rPr>
          <w:shd w:val="clear" w:color="auto" w:fill="FFFFFF"/>
          <w:lang w:val="en-US"/>
        </w:rPr>
        <w:t>%, and the lowest among persons with lower secondary and less educ</w:t>
      </w:r>
      <w:r>
        <w:rPr>
          <w:shd w:val="clear" w:color="auto" w:fill="FFFFFF"/>
          <w:lang w:val="en-US"/>
        </w:rPr>
        <w:t>ation – 16.8%. The highest in</w:t>
      </w:r>
      <w:r w:rsidR="00761CE6" w:rsidRPr="00761CE6">
        <w:rPr>
          <w:shd w:val="clear" w:color="auto" w:fill="FFFFFF"/>
          <w:lang w:val="en-US"/>
        </w:rPr>
        <w:t xml:space="preserve">crease in the employment rate occurred among persons with </w:t>
      </w:r>
      <w:r>
        <w:rPr>
          <w:shd w:val="clear" w:color="auto" w:fill="FFFFFF"/>
          <w:lang w:val="en-US"/>
        </w:rPr>
        <w:t>post-secondary and vocational secondary education (by 2.2 pp), and the largest de</w:t>
      </w:r>
      <w:r w:rsidR="00761CE6" w:rsidRPr="00761CE6">
        <w:rPr>
          <w:shd w:val="clear" w:color="auto" w:fill="FFFFFF"/>
          <w:lang w:val="en-US"/>
        </w:rPr>
        <w:t xml:space="preserve">crease among persons with </w:t>
      </w:r>
      <w:r w:rsidRPr="00682001">
        <w:rPr>
          <w:shd w:val="clear" w:color="auto" w:fill="FFFFFF"/>
          <w:lang w:val="en-US"/>
        </w:rPr>
        <w:t>lower secondary and less education</w:t>
      </w:r>
      <w:r>
        <w:rPr>
          <w:shd w:val="clear" w:color="auto" w:fill="FFFFFF"/>
          <w:lang w:val="en-US"/>
        </w:rPr>
        <w:t xml:space="preserve"> (by 0.7</w:t>
      </w:r>
      <w:r w:rsidR="00761CE6" w:rsidRPr="00761CE6">
        <w:rPr>
          <w:shd w:val="clear" w:color="auto" w:fill="FFFFFF"/>
          <w:lang w:val="en-US"/>
        </w:rPr>
        <w:t xml:space="preserve"> pp). </w:t>
      </w:r>
      <w:r w:rsidR="00761CE6">
        <w:rPr>
          <w:shd w:val="clear" w:color="auto" w:fill="FFFFFF"/>
          <w:lang w:val="en-US"/>
        </w:rPr>
        <w:t xml:space="preserve"> </w:t>
      </w:r>
      <w:r w:rsidR="00807102">
        <w:rPr>
          <w:shd w:val="clear" w:color="auto" w:fill="FFFFFF"/>
          <w:lang w:val="en-US"/>
        </w:rPr>
        <w:t xml:space="preserve"> </w:t>
      </w:r>
    </w:p>
    <w:p w:rsidR="00682001" w:rsidRDefault="009C1005" w:rsidP="005166A4">
      <w:pPr>
        <w:rPr>
          <w:shd w:val="clear" w:color="auto" w:fill="FFFFFF"/>
          <w:lang w:val="en-US"/>
        </w:rPr>
      </w:pPr>
      <w:r>
        <w:rPr>
          <w:shd w:val="clear" w:color="auto" w:fill="FFFFFF"/>
          <w:lang w:val="en-US"/>
        </w:rPr>
        <w:t>In the first quarter of 2022</w:t>
      </w:r>
      <w:r w:rsidR="00682001" w:rsidRPr="00682001">
        <w:rPr>
          <w:shd w:val="clear" w:color="auto" w:fill="FFFFFF"/>
          <w:lang w:val="en-US"/>
        </w:rPr>
        <w:t xml:space="preserve">, there were </w:t>
      </w:r>
      <w:r w:rsidRPr="009C1005">
        <w:rPr>
          <w:shd w:val="clear" w:color="auto" w:fill="FFFFFF"/>
          <w:lang w:val="en-US"/>
        </w:rPr>
        <w:t xml:space="preserve">2029 </w:t>
      </w:r>
      <w:r>
        <w:rPr>
          <w:shd w:val="clear" w:color="auto" w:fill="FFFFFF"/>
          <w:lang w:val="en-US"/>
        </w:rPr>
        <w:t>thousand persons employed</w:t>
      </w:r>
      <w:r w:rsidR="00682001" w:rsidRPr="00682001">
        <w:rPr>
          <w:shd w:val="clear" w:color="auto" w:fill="FFFFFF"/>
          <w:lang w:val="en-US"/>
        </w:rPr>
        <w:t xml:space="preserve"> in the publ</w:t>
      </w:r>
      <w:r>
        <w:rPr>
          <w:shd w:val="clear" w:color="auto" w:fill="FFFFFF"/>
          <w:lang w:val="en-US"/>
        </w:rPr>
        <w:t>ic and private sector (i.e. 78.2</w:t>
      </w:r>
      <w:r w:rsidR="00682001" w:rsidRPr="00682001">
        <w:rPr>
          <w:shd w:val="clear" w:color="auto" w:fill="FFFFFF"/>
          <w:lang w:val="en-US"/>
        </w:rPr>
        <w:t>% of total</w:t>
      </w:r>
      <w:r>
        <w:rPr>
          <w:shd w:val="clear" w:color="auto" w:fill="FFFFFF"/>
          <w:lang w:val="en-US"/>
        </w:rPr>
        <w:t xml:space="preserve"> employees), and their number decreased by 0.9</w:t>
      </w:r>
      <w:r w:rsidR="00682001" w:rsidRPr="00682001">
        <w:rPr>
          <w:shd w:val="clear" w:color="auto" w:fill="FFFFFF"/>
          <w:lang w:val="en-US"/>
        </w:rPr>
        <w:t xml:space="preserve">% compared to the </w:t>
      </w:r>
      <w:r>
        <w:rPr>
          <w:shd w:val="clear" w:color="auto" w:fill="FFFFFF"/>
          <w:lang w:val="en-US"/>
        </w:rPr>
        <w:t>fourth</w:t>
      </w:r>
      <w:r w:rsidR="00682001" w:rsidRPr="00682001">
        <w:rPr>
          <w:shd w:val="clear" w:color="auto" w:fill="FFFFFF"/>
          <w:lang w:val="en-US"/>
        </w:rPr>
        <w:t xml:space="preserve"> </w:t>
      </w:r>
      <w:r>
        <w:rPr>
          <w:shd w:val="clear" w:color="auto" w:fill="FFFFFF"/>
          <w:lang w:val="en-US"/>
        </w:rPr>
        <w:t>quarter of 2021. There was an in</w:t>
      </w:r>
      <w:r w:rsidR="00682001" w:rsidRPr="00682001">
        <w:rPr>
          <w:shd w:val="clear" w:color="auto" w:fill="FFFFFF"/>
          <w:lang w:val="en-US"/>
        </w:rPr>
        <w:t xml:space="preserve">crease both among employers and self-employed persons (from </w:t>
      </w:r>
      <w:r>
        <w:rPr>
          <w:shd w:val="clear" w:color="auto" w:fill="FFFFFF"/>
          <w:lang w:val="en-US"/>
        </w:rPr>
        <w:t>524</w:t>
      </w:r>
      <w:r w:rsidR="00682001" w:rsidRPr="00682001">
        <w:rPr>
          <w:shd w:val="clear" w:color="auto" w:fill="FFFFFF"/>
          <w:lang w:val="en-US"/>
        </w:rPr>
        <w:t xml:space="preserve"> thousand to </w:t>
      </w:r>
      <w:r>
        <w:rPr>
          <w:shd w:val="clear" w:color="auto" w:fill="FFFFFF"/>
          <w:lang w:val="en-US"/>
        </w:rPr>
        <w:t>5</w:t>
      </w:r>
      <w:r w:rsidR="00682001" w:rsidRPr="00682001">
        <w:rPr>
          <w:shd w:val="clear" w:color="auto" w:fill="FFFFFF"/>
          <w:lang w:val="en-US"/>
        </w:rPr>
        <w:t>4</w:t>
      </w:r>
      <w:r>
        <w:rPr>
          <w:shd w:val="clear" w:color="auto" w:fill="FFFFFF"/>
          <w:lang w:val="en-US"/>
        </w:rPr>
        <w:t>0</w:t>
      </w:r>
      <w:r w:rsidR="00682001" w:rsidRPr="00682001">
        <w:rPr>
          <w:shd w:val="clear" w:color="auto" w:fill="FFFFFF"/>
          <w:lang w:val="en-US"/>
        </w:rPr>
        <w:t xml:space="preserve"> thousand), as well as contributing family workers (from </w:t>
      </w:r>
      <w:r>
        <w:rPr>
          <w:shd w:val="clear" w:color="auto" w:fill="FFFFFF"/>
          <w:lang w:val="en-US"/>
        </w:rPr>
        <w:t>24</w:t>
      </w:r>
      <w:r w:rsidR="00682001" w:rsidRPr="00682001">
        <w:rPr>
          <w:shd w:val="clear" w:color="auto" w:fill="FFFFFF"/>
          <w:lang w:val="en-US"/>
        </w:rPr>
        <w:t xml:space="preserve"> thousand to </w:t>
      </w:r>
      <w:r>
        <w:rPr>
          <w:shd w:val="clear" w:color="auto" w:fill="FFFFFF"/>
          <w:lang w:val="en-US"/>
        </w:rPr>
        <w:t>25</w:t>
      </w:r>
      <w:r w:rsidR="00682001" w:rsidRPr="00682001">
        <w:rPr>
          <w:shd w:val="clear" w:color="auto" w:fill="FFFFFF"/>
          <w:lang w:val="en-US"/>
        </w:rPr>
        <w:t xml:space="preserve"> thousand</w:t>
      </w:r>
      <w:r w:rsidR="00682001">
        <w:rPr>
          <w:shd w:val="clear" w:color="auto" w:fill="FFFFFF"/>
          <w:lang w:val="en-US"/>
        </w:rPr>
        <w:t>).</w:t>
      </w:r>
      <w:r w:rsidRPr="009C1005">
        <w:rPr>
          <w:shd w:val="clear" w:color="auto" w:fill="FFFFFF"/>
          <w:lang w:val="en-US"/>
        </w:rPr>
        <w:t xml:space="preserve"> The vast majority of employed persons supported the private sector (67.8% of the tota</w:t>
      </w:r>
      <w:r>
        <w:rPr>
          <w:shd w:val="clear" w:color="auto" w:fill="FFFFFF"/>
          <w:lang w:val="en-US"/>
        </w:rPr>
        <w:t>l). Of these, the majority (56.6</w:t>
      </w:r>
      <w:r w:rsidRPr="009C1005">
        <w:rPr>
          <w:shd w:val="clear" w:color="auto" w:fill="FFFFFF"/>
          <w:lang w:val="en-US"/>
        </w:rPr>
        <w:t>%) were men. The situation was different among persons employed in t</w:t>
      </w:r>
      <w:r>
        <w:rPr>
          <w:shd w:val="clear" w:color="auto" w:fill="FFFFFF"/>
          <w:lang w:val="en-US"/>
        </w:rPr>
        <w:t>he public sector, where among 654</w:t>
      </w:r>
      <w:r w:rsidRPr="009C1005">
        <w:rPr>
          <w:shd w:val="clear" w:color="auto" w:fill="FFFFFF"/>
          <w:lang w:val="en-US"/>
        </w:rPr>
        <w:t xml:space="preserve"> thousand employe</w:t>
      </w:r>
      <w:r>
        <w:rPr>
          <w:shd w:val="clear" w:color="auto" w:fill="FFFFFF"/>
          <w:lang w:val="en-US"/>
        </w:rPr>
        <w:t>d persons predominated women (65.6</w:t>
      </w:r>
      <w:r w:rsidRPr="009C1005">
        <w:rPr>
          <w:shd w:val="clear" w:color="auto" w:fill="FFFFFF"/>
          <w:lang w:val="en-US"/>
        </w:rPr>
        <w:t>%). Ther</w:t>
      </w:r>
      <w:r>
        <w:rPr>
          <w:shd w:val="clear" w:color="auto" w:fill="FFFFFF"/>
          <w:lang w:val="en-US"/>
        </w:rPr>
        <w:t>e were 85.5</w:t>
      </w:r>
      <w:r w:rsidRPr="009C1005">
        <w:rPr>
          <w:shd w:val="clear" w:color="auto" w:fill="FFFFFF"/>
          <w:lang w:val="en-US"/>
        </w:rPr>
        <w:t xml:space="preserve">% of employees employed for an indefinite period </w:t>
      </w:r>
      <w:r>
        <w:rPr>
          <w:shd w:val="clear" w:color="auto" w:fill="FFFFFF"/>
          <w:lang w:val="en-US"/>
        </w:rPr>
        <w:t>(a 1.2</w:t>
      </w:r>
      <w:r w:rsidRPr="009C1005">
        <w:rPr>
          <w:shd w:val="clear" w:color="auto" w:fill="FFFFFF"/>
          <w:lang w:val="en-US"/>
        </w:rPr>
        <w:t xml:space="preserve"> pp decrease compared to the </w:t>
      </w:r>
      <w:r>
        <w:rPr>
          <w:shd w:val="clear" w:color="auto" w:fill="FFFFFF"/>
          <w:lang w:val="en-US"/>
        </w:rPr>
        <w:t>fourth</w:t>
      </w:r>
      <w:r w:rsidRPr="009C1005">
        <w:rPr>
          <w:shd w:val="clear" w:color="auto" w:fill="FFFFFF"/>
          <w:lang w:val="en-US"/>
        </w:rPr>
        <w:t xml:space="preserve"> quarter of 2021). </w:t>
      </w:r>
    </w:p>
    <w:p w:rsidR="00F41086" w:rsidRPr="009C1005" w:rsidRDefault="00F15A83" w:rsidP="00D139A5">
      <w:pPr>
        <w:pStyle w:val="tytuwykresu"/>
        <w:rPr>
          <w:shd w:val="clear" w:color="auto" w:fill="FFFFFF"/>
          <w:lang w:val="en-US"/>
        </w:rPr>
      </w:pPr>
      <w:r>
        <w:rPr>
          <w:noProof/>
          <w:shd w:val="clear" w:color="auto" w:fill="FFFFFF"/>
          <w:lang w:eastAsia="pl-PL"/>
        </w:rPr>
        <w:drawing>
          <wp:anchor distT="0" distB="0" distL="114300" distR="114300" simplePos="0" relativeHeight="252130304" behindDoc="0" locked="0" layoutInCell="1" allowOverlap="1">
            <wp:simplePos x="0" y="0"/>
            <wp:positionH relativeFrom="column">
              <wp:posOffset>19050</wp:posOffset>
            </wp:positionH>
            <wp:positionV relativeFrom="page">
              <wp:posOffset>6953250</wp:posOffset>
            </wp:positionV>
            <wp:extent cx="5122545" cy="1252855"/>
            <wp:effectExtent l="0" t="0" r="1905" b="4445"/>
            <wp:wrapTopAndBottom/>
            <wp:docPr id="32" name="Obraz 32" descr="Two pie charts show the structure of the employed by age and education in the first quarter of 2022. The data for the chart is available in the attached excel file." title="Chart 4. Structure of employed persons by age and education in the first quarter of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el wykresy 1 kw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22545" cy="1252855"/>
                    </a:xfrm>
                    <a:prstGeom prst="rect">
                      <a:avLst/>
                    </a:prstGeom>
                  </pic:spPr>
                </pic:pic>
              </a:graphicData>
            </a:graphic>
          </wp:anchor>
        </w:drawing>
      </w:r>
      <w:r w:rsidR="009C1005" w:rsidRPr="004961CE">
        <w:rPr>
          <w:shd w:val="clear" w:color="auto" w:fill="FFFFFF"/>
          <w:lang w:val="en-US"/>
        </w:rPr>
        <w:t>Chart</w:t>
      </w:r>
      <w:r w:rsidR="00A86CFF" w:rsidRPr="009C1005">
        <w:rPr>
          <w:shd w:val="clear" w:color="auto" w:fill="FFFFFF"/>
          <w:lang w:val="en-US"/>
        </w:rPr>
        <w:t xml:space="preserve"> </w:t>
      </w:r>
      <w:r w:rsidR="004A47B4" w:rsidRPr="009C1005">
        <w:rPr>
          <w:shd w:val="clear" w:color="auto" w:fill="FFFFFF"/>
          <w:lang w:val="en-US"/>
        </w:rPr>
        <w:t>5</w:t>
      </w:r>
      <w:r w:rsidR="00A86CFF" w:rsidRPr="009C1005">
        <w:rPr>
          <w:shd w:val="clear" w:color="auto" w:fill="FFFFFF"/>
          <w:lang w:val="en-US"/>
        </w:rPr>
        <w:t xml:space="preserve">. </w:t>
      </w:r>
      <w:r w:rsidR="009C1005" w:rsidRPr="009C1005">
        <w:rPr>
          <w:shd w:val="clear" w:color="auto" w:fill="FFFFFF"/>
          <w:lang w:val="en-US"/>
        </w:rPr>
        <w:t xml:space="preserve">Structure of employed persons by employment status in the </w:t>
      </w:r>
      <w:r w:rsidR="009C1005">
        <w:rPr>
          <w:shd w:val="clear" w:color="auto" w:fill="FFFFFF"/>
          <w:lang w:val="en-US"/>
        </w:rPr>
        <w:t xml:space="preserve">first quarter of 2022 </w:t>
      </w:r>
    </w:p>
    <w:p w:rsidR="00214C13" w:rsidRPr="004961CE" w:rsidRDefault="00CD319A" w:rsidP="00767197">
      <w:pPr>
        <w:spacing w:before="360" w:line="240" w:lineRule="auto"/>
        <w:rPr>
          <w:b/>
          <w:sz w:val="18"/>
          <w:szCs w:val="18"/>
          <w:shd w:val="clear" w:color="auto" w:fill="FFFFFF"/>
          <w:lang w:val="en-US"/>
        </w:rPr>
      </w:pPr>
      <w:r w:rsidRPr="00201C24">
        <w:rPr>
          <w:noProof/>
          <w:lang w:eastAsia="pl-PL"/>
        </w:rPr>
        <mc:AlternateContent>
          <mc:Choice Requires="wps">
            <w:drawing>
              <wp:anchor distT="0" distB="0" distL="114300" distR="114300" simplePos="0" relativeHeight="251828224" behindDoc="0" locked="0" layoutInCell="1" allowOverlap="1" wp14:anchorId="4CF02569" wp14:editId="722FFF57">
                <wp:simplePos x="0" y="0"/>
                <wp:positionH relativeFrom="column">
                  <wp:posOffset>5219700</wp:posOffset>
                </wp:positionH>
                <wp:positionV relativeFrom="paragraph">
                  <wp:posOffset>158750</wp:posOffset>
                </wp:positionV>
                <wp:extent cx="1625600" cy="809625"/>
                <wp:effectExtent l="0" t="0" r="0" b="0"/>
                <wp:wrapNone/>
                <wp:docPr id="6" name="Pole tekstowe 6" descr="26% of men and almost 15% of women worked as employers and self-employed persons  " title="Relevant information"/>
                <wp:cNvGraphicFramePr/>
                <a:graphic xmlns:a="http://schemas.openxmlformats.org/drawingml/2006/main">
                  <a:graphicData uri="http://schemas.microsoft.com/office/word/2010/wordprocessingShape">
                    <wps:wsp>
                      <wps:cNvSpPr txBox="1"/>
                      <wps:spPr>
                        <a:xfrm>
                          <a:off x="0" y="0"/>
                          <a:ext cx="16256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9C1005" w:rsidRDefault="00091E87" w:rsidP="009C1005">
                            <w:pPr>
                              <w:pStyle w:val="Istotnainformacja"/>
                              <w:rPr>
                                <w:lang w:val="en-US"/>
                              </w:rPr>
                            </w:pPr>
                            <w:r>
                              <w:rPr>
                                <w:lang w:val="en-US"/>
                              </w:rPr>
                              <w:t>26</w:t>
                            </w:r>
                            <w:r w:rsidRPr="009C1005">
                              <w:rPr>
                                <w:lang w:val="en-US"/>
                              </w:rPr>
                              <w:t xml:space="preserve">% of men and almost 15% of women worked as employers and self-employed persons  </w:t>
                            </w:r>
                          </w:p>
                          <w:p w:rsidR="00091E87" w:rsidRPr="004961CE" w:rsidRDefault="00091E8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02569" id="Pole tekstowe 6" o:spid="_x0000_s1032" type="#_x0000_t202" alt="Tytuł: Relevant information — opis: 26% of men and almost 15% of women worked as employers and self-employed persons  " style="position:absolute;margin-left:411pt;margin-top:12.5pt;width:128pt;height:63.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" filled="f" stroked="f" strokeweight=".5pt">
                <v:textbox>
                  <w:txbxContent>
                    <w:p w:rsidR="00091E87" w:rsidRPr="009C1005" w:rsidRDefault="00091E87" w:rsidP="009C1005">
                      <w:pPr>
                        <w:pStyle w:val="Istotnainformacja"/>
                        <w:rPr>
                          <w:lang w:val="en-US"/>
                        </w:rPr>
                      </w:pPr>
                      <w:r>
                        <w:rPr>
                          <w:lang w:val="en-US"/>
                        </w:rPr>
                        <w:t>26</w:t>
                      </w:r>
                      <w:r w:rsidRPr="009C1005">
                        <w:rPr>
                          <w:lang w:val="en-US"/>
                        </w:rPr>
                        <w:t xml:space="preserve">% of men and almost 15% of women worked as employers and self-employed persons  </w:t>
                      </w:r>
                    </w:p>
                    <w:p w:rsidR="00091E87" w:rsidRPr="004961CE" w:rsidRDefault="00091E87">
                      <w:pPr>
                        <w:rPr>
                          <w:lang w:val="en-US"/>
                        </w:rPr>
                      </w:pPr>
                    </w:p>
                  </w:txbxContent>
                </v:textbox>
              </v:shape>
            </w:pict>
          </mc:Fallback>
        </mc:AlternateContent>
      </w:r>
    </w:p>
    <w:p w:rsidR="00A86CFF" w:rsidRPr="004961CE" w:rsidRDefault="00D07C16" w:rsidP="003B7E49">
      <w:pPr>
        <w:pStyle w:val="Nagwek1"/>
        <w:rPr>
          <w:shd w:val="clear" w:color="auto" w:fill="FFFFFF"/>
          <w:lang w:val="en-US"/>
        </w:rPr>
      </w:pPr>
      <w:r w:rsidRPr="004961CE">
        <w:rPr>
          <w:shd w:val="clear" w:color="auto" w:fill="FFFFFF"/>
          <w:lang w:val="en-US"/>
        </w:rPr>
        <w:t>Unemployed persons</w:t>
      </w:r>
    </w:p>
    <w:p w:rsidR="00A86CFF" w:rsidRPr="003114B7" w:rsidRDefault="00BA5EC2" w:rsidP="00A86CFF">
      <w:pPr>
        <w:rPr>
          <w:shd w:val="clear" w:color="auto" w:fill="FFFFFF"/>
          <w:lang w:val="en-US"/>
        </w:rPr>
      </w:pPr>
      <w:r w:rsidRPr="00D33CC4">
        <w:rPr>
          <w:b/>
          <w:noProof/>
          <w:highlight w:val="lightGray"/>
          <w:shd w:val="clear" w:color="auto" w:fill="FFFFFF"/>
          <w:lang w:eastAsia="pl-PL"/>
        </w:rPr>
        <mc:AlternateContent>
          <mc:Choice Requires="wps">
            <w:drawing>
              <wp:anchor distT="0" distB="0" distL="114300" distR="114300" simplePos="0" relativeHeight="251737088" behindDoc="0" locked="0" layoutInCell="1" allowOverlap="1" wp14:anchorId="62A72979" wp14:editId="1E2C1D4C">
                <wp:simplePos x="0" y="0"/>
                <wp:positionH relativeFrom="column">
                  <wp:posOffset>5219700</wp:posOffset>
                </wp:positionH>
                <wp:positionV relativeFrom="paragraph">
                  <wp:posOffset>335280</wp:posOffset>
                </wp:positionV>
                <wp:extent cx="1729740" cy="619125"/>
                <wp:effectExtent l="0" t="0" r="0" b="0"/>
                <wp:wrapNone/>
                <wp:docPr id="5" name="Pole tekstowe 5" descr="The number of unemployed women increased by more than 52%, and men by 20%" title="Relevant information"/>
                <wp:cNvGraphicFramePr/>
                <a:graphic xmlns:a="http://schemas.openxmlformats.org/drawingml/2006/main">
                  <a:graphicData uri="http://schemas.microsoft.com/office/word/2010/wordprocessingShape">
                    <wps:wsp>
                      <wps:cNvSpPr txBox="1"/>
                      <wps:spPr>
                        <a:xfrm>
                          <a:off x="0" y="0"/>
                          <a:ext cx="172974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BA5EC2" w:rsidRDefault="00091E87" w:rsidP="00BA5EC2">
                            <w:pPr>
                              <w:pStyle w:val="Istotnainformacja"/>
                              <w:rPr>
                                <w:lang w:val="en-US"/>
                              </w:rPr>
                            </w:pPr>
                            <w:r w:rsidRPr="00BA5EC2">
                              <w:rPr>
                                <w:lang w:val="en-US"/>
                              </w:rPr>
                              <w:t>T</w:t>
                            </w:r>
                            <w:r>
                              <w:rPr>
                                <w:lang w:val="en-US"/>
                              </w:rPr>
                              <w:t>he number of unemployed women in</w:t>
                            </w:r>
                            <w:r w:rsidRPr="00BA5EC2">
                              <w:rPr>
                                <w:lang w:val="en-US"/>
                              </w:rPr>
                              <w:t xml:space="preserve">creased by </w:t>
                            </w:r>
                            <w:r>
                              <w:rPr>
                                <w:lang w:val="en-US"/>
                              </w:rPr>
                              <w:t xml:space="preserve">more than </w:t>
                            </w:r>
                            <w:r w:rsidRPr="00BA5EC2">
                              <w:rPr>
                                <w:lang w:val="en-US"/>
                              </w:rPr>
                              <w:t>5</w:t>
                            </w:r>
                            <w:r>
                              <w:rPr>
                                <w:lang w:val="en-US"/>
                              </w:rPr>
                              <w:t>2</w:t>
                            </w:r>
                            <w:r w:rsidRPr="00BA5EC2">
                              <w:rPr>
                                <w:lang w:val="en-US"/>
                              </w:rPr>
                              <w:t xml:space="preserve">%, and men </w:t>
                            </w:r>
                            <w:r>
                              <w:rPr>
                                <w:lang w:val="en-US"/>
                              </w:rPr>
                              <w:t>by 20</w:t>
                            </w:r>
                            <w:r w:rsidRPr="00BA5EC2">
                              <w:rPr>
                                <w:lang w:val="en-US"/>
                              </w:rPr>
                              <w:t>%</w:t>
                            </w:r>
                          </w:p>
                          <w:p w:rsidR="00091E87" w:rsidRPr="004961CE" w:rsidRDefault="00091E87" w:rsidP="00D56113">
                            <w:pPr>
                              <w:pStyle w:val="Istotnainformacja"/>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2979" id="Pole tekstowe 5" o:spid="_x0000_s1033" type="#_x0000_t202" alt="Tytuł: Relevant information — opis: The number of unemployed women increased by more than 52%, and men by 20%" style="position:absolute;margin-left:411pt;margin-top:26.4pt;width:136.2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" filled="f" stroked="f" strokeweight=".5pt">
                <v:textbox>
                  <w:txbxContent>
                    <w:p w:rsidR="00091E87" w:rsidRPr="00BA5EC2" w:rsidRDefault="00091E87" w:rsidP="00BA5EC2">
                      <w:pPr>
                        <w:pStyle w:val="Istotnainformacja"/>
                        <w:rPr>
                          <w:lang w:val="en-US"/>
                        </w:rPr>
                      </w:pPr>
                      <w:r w:rsidRPr="00BA5EC2">
                        <w:rPr>
                          <w:lang w:val="en-US"/>
                        </w:rPr>
                        <w:t>T</w:t>
                      </w:r>
                      <w:r>
                        <w:rPr>
                          <w:lang w:val="en-US"/>
                        </w:rPr>
                        <w:t>he number of unemployed women in</w:t>
                      </w:r>
                      <w:r w:rsidRPr="00BA5EC2">
                        <w:rPr>
                          <w:lang w:val="en-US"/>
                        </w:rPr>
                        <w:t xml:space="preserve">creased by </w:t>
                      </w:r>
                      <w:r>
                        <w:rPr>
                          <w:lang w:val="en-US"/>
                        </w:rPr>
                        <w:t xml:space="preserve">more than </w:t>
                      </w:r>
                      <w:r w:rsidRPr="00BA5EC2">
                        <w:rPr>
                          <w:lang w:val="en-US"/>
                        </w:rPr>
                        <w:t>5</w:t>
                      </w:r>
                      <w:r>
                        <w:rPr>
                          <w:lang w:val="en-US"/>
                        </w:rPr>
                        <w:t>2</w:t>
                      </w:r>
                      <w:r w:rsidRPr="00BA5EC2">
                        <w:rPr>
                          <w:lang w:val="en-US"/>
                        </w:rPr>
                        <w:t xml:space="preserve">%, and men </w:t>
                      </w:r>
                      <w:r>
                        <w:rPr>
                          <w:lang w:val="en-US"/>
                        </w:rPr>
                        <w:t>by 20</w:t>
                      </w:r>
                      <w:r w:rsidRPr="00BA5EC2">
                        <w:rPr>
                          <w:lang w:val="en-US"/>
                        </w:rPr>
                        <w:t>%</w:t>
                      </w:r>
                    </w:p>
                    <w:p w:rsidR="00091E87" w:rsidRPr="004961CE" w:rsidRDefault="00091E87" w:rsidP="00D56113">
                      <w:pPr>
                        <w:pStyle w:val="Istotnainformacja"/>
                        <w:rPr>
                          <w:lang w:val="en-US"/>
                        </w:rPr>
                      </w:pPr>
                    </w:p>
                  </w:txbxContent>
                </v:textbox>
              </v:shape>
            </w:pict>
          </mc:Fallback>
        </mc:AlternateContent>
      </w:r>
      <w:r w:rsidR="003114B7" w:rsidRPr="003114B7">
        <w:rPr>
          <w:shd w:val="clear" w:color="auto" w:fill="FFFFFF"/>
          <w:lang w:val="en-US"/>
        </w:rPr>
        <w:t xml:space="preserve">In the </w:t>
      </w:r>
      <w:r w:rsidR="003114B7">
        <w:rPr>
          <w:shd w:val="clear" w:color="auto" w:fill="FFFFFF"/>
          <w:lang w:val="en-US"/>
        </w:rPr>
        <w:t>first quarter of 2022</w:t>
      </w:r>
      <w:r w:rsidR="003114B7" w:rsidRPr="003114B7">
        <w:rPr>
          <w:shd w:val="clear" w:color="auto" w:fill="FFFFFF"/>
          <w:lang w:val="en-US"/>
        </w:rPr>
        <w:t xml:space="preserve">, the population of unemployed persons (aged 15-74) in </w:t>
      </w:r>
      <w:proofErr w:type="spellStart"/>
      <w:r w:rsidR="003114B7" w:rsidRPr="003114B7">
        <w:rPr>
          <w:shd w:val="clear" w:color="auto" w:fill="FFFFFF"/>
          <w:lang w:val="en-US"/>
        </w:rPr>
        <w:t>Mazowieckie</w:t>
      </w:r>
      <w:proofErr w:type="spellEnd"/>
      <w:r w:rsidR="003114B7" w:rsidRPr="003114B7">
        <w:rPr>
          <w:shd w:val="clear" w:color="auto" w:fill="FFFFFF"/>
          <w:lang w:val="en-US"/>
        </w:rPr>
        <w:t xml:space="preserve"> Voivodship amounted to </w:t>
      </w:r>
      <w:r w:rsidR="003114B7">
        <w:rPr>
          <w:shd w:val="clear" w:color="auto" w:fill="FFFFFF"/>
          <w:lang w:val="en-US"/>
        </w:rPr>
        <w:t>80 thousand persons and increased by 31.1</w:t>
      </w:r>
      <w:r w:rsidR="003114B7" w:rsidRPr="003114B7">
        <w:rPr>
          <w:shd w:val="clear" w:color="auto" w:fill="FFFFFF"/>
          <w:lang w:val="en-US"/>
        </w:rPr>
        <w:t xml:space="preserve">% compared to the </w:t>
      </w:r>
      <w:r w:rsidR="003114B7">
        <w:rPr>
          <w:shd w:val="clear" w:color="auto" w:fill="FFFFFF"/>
          <w:lang w:val="en-US"/>
        </w:rPr>
        <w:t>fourth</w:t>
      </w:r>
      <w:r w:rsidR="003114B7" w:rsidRPr="003114B7">
        <w:rPr>
          <w:shd w:val="clear" w:color="auto" w:fill="FFFFFF"/>
          <w:lang w:val="en-US"/>
        </w:rPr>
        <w:t xml:space="preserve"> quarter of 2021</w:t>
      </w:r>
      <w:r w:rsidR="003114B7">
        <w:rPr>
          <w:shd w:val="clear" w:color="auto" w:fill="FFFFFF"/>
          <w:lang w:val="en-US"/>
        </w:rPr>
        <w:t>.</w:t>
      </w:r>
    </w:p>
    <w:p w:rsidR="00BA5EC2" w:rsidRPr="00BA5EC2" w:rsidRDefault="00BA5EC2" w:rsidP="00BA5EC2">
      <w:pPr>
        <w:rPr>
          <w:shd w:val="clear" w:color="auto" w:fill="FFFFFF"/>
          <w:lang w:val="en-US"/>
        </w:rPr>
      </w:pPr>
      <w:r w:rsidRPr="00BA5EC2">
        <w:rPr>
          <w:shd w:val="clear" w:color="auto" w:fill="FFFFFF"/>
          <w:lang w:val="en-US"/>
        </w:rPr>
        <w:t xml:space="preserve">Compared to the previous quarter, the number of both unemployed women </w:t>
      </w:r>
      <w:r>
        <w:rPr>
          <w:shd w:val="clear" w:color="auto" w:fill="FFFFFF"/>
          <w:lang w:val="en-US"/>
        </w:rPr>
        <w:t>(by 52.4%) and men (by 20.0%) in</w:t>
      </w:r>
      <w:r w:rsidRPr="00BA5EC2">
        <w:rPr>
          <w:shd w:val="clear" w:color="auto" w:fill="FFFFFF"/>
          <w:lang w:val="en-US"/>
        </w:rPr>
        <w:t>creased. There was a</w:t>
      </w:r>
      <w:r>
        <w:rPr>
          <w:shd w:val="clear" w:color="auto" w:fill="FFFFFF"/>
          <w:lang w:val="en-US"/>
        </w:rPr>
        <w:t>lso an in</w:t>
      </w:r>
      <w:r w:rsidRPr="00BA5EC2">
        <w:rPr>
          <w:shd w:val="clear" w:color="auto" w:fill="FFFFFF"/>
          <w:lang w:val="en-US"/>
        </w:rPr>
        <w:t xml:space="preserve">crease among </w:t>
      </w:r>
      <w:r>
        <w:rPr>
          <w:shd w:val="clear" w:color="auto" w:fill="FFFFFF"/>
          <w:lang w:val="en-US"/>
        </w:rPr>
        <w:t>urban residents (by 47.4</w:t>
      </w:r>
      <w:r w:rsidRPr="00BA5EC2">
        <w:rPr>
          <w:shd w:val="clear" w:color="auto" w:fill="FFFFFF"/>
          <w:lang w:val="en-US"/>
        </w:rPr>
        <w:t xml:space="preserve">%), and among </w:t>
      </w:r>
      <w:r>
        <w:rPr>
          <w:shd w:val="clear" w:color="auto" w:fill="FFFFFF"/>
          <w:lang w:val="en-US"/>
        </w:rPr>
        <w:t>rural</w:t>
      </w:r>
      <w:r w:rsidRPr="00BA5EC2">
        <w:rPr>
          <w:shd w:val="clear" w:color="auto" w:fill="FFFFFF"/>
          <w:lang w:val="en-US"/>
        </w:rPr>
        <w:t xml:space="preserve"> residents</w:t>
      </w:r>
      <w:r>
        <w:rPr>
          <w:shd w:val="clear" w:color="auto" w:fill="FFFFFF"/>
          <w:lang w:val="en-US"/>
        </w:rPr>
        <w:t xml:space="preserve"> (by 4.3</w:t>
      </w:r>
      <w:r w:rsidRPr="00BA5EC2">
        <w:rPr>
          <w:shd w:val="clear" w:color="auto" w:fill="FFFFFF"/>
          <w:lang w:val="en-US"/>
        </w:rPr>
        <w:t xml:space="preserve">%).   </w:t>
      </w:r>
      <w:r>
        <w:rPr>
          <w:shd w:val="clear" w:color="auto" w:fill="FFFFFF"/>
          <w:lang w:val="en-US"/>
        </w:rPr>
        <w:t xml:space="preserve"> </w:t>
      </w:r>
    </w:p>
    <w:p w:rsidR="00BA5EC2" w:rsidRPr="00BA5EC2" w:rsidRDefault="00BA5EC2" w:rsidP="00BA5EC2">
      <w:pPr>
        <w:rPr>
          <w:shd w:val="clear" w:color="auto" w:fill="FFFFFF"/>
          <w:lang w:val="en-US"/>
        </w:rPr>
      </w:pPr>
      <w:r w:rsidRPr="00BA5EC2">
        <w:rPr>
          <w:shd w:val="clear" w:color="auto" w:fill="FFFFFF"/>
          <w:lang w:val="en-US"/>
        </w:rPr>
        <w:lastRenderedPageBreak/>
        <w:t xml:space="preserve">The total unemployment rate in the Voivodship </w:t>
      </w:r>
      <w:r>
        <w:rPr>
          <w:shd w:val="clear" w:color="auto" w:fill="FFFFFF"/>
          <w:lang w:val="en-US"/>
        </w:rPr>
        <w:t>amounted to 3.0% and increased by 0.7</w:t>
      </w:r>
      <w:r w:rsidRPr="00BA5EC2">
        <w:rPr>
          <w:shd w:val="clear" w:color="auto" w:fill="FFFFFF"/>
          <w:lang w:val="en-US"/>
        </w:rPr>
        <w:t xml:space="preserve"> pp compared to the </w:t>
      </w:r>
      <w:r>
        <w:rPr>
          <w:shd w:val="clear" w:color="auto" w:fill="FFFFFF"/>
          <w:lang w:val="en-US"/>
        </w:rPr>
        <w:t>fourth</w:t>
      </w:r>
      <w:r w:rsidRPr="00BA5EC2">
        <w:rPr>
          <w:shd w:val="clear" w:color="auto" w:fill="FFFFFF"/>
          <w:lang w:val="en-US"/>
        </w:rPr>
        <w:t xml:space="preserve"> quarter of 2021. In urban areas it wa</w:t>
      </w:r>
      <w:r>
        <w:rPr>
          <w:shd w:val="clear" w:color="auto" w:fill="FFFFFF"/>
          <w:lang w:val="en-US"/>
        </w:rPr>
        <w:t>s 3.2% (by 0.7</w:t>
      </w:r>
      <w:r w:rsidRPr="00BA5EC2">
        <w:rPr>
          <w:shd w:val="clear" w:color="auto" w:fill="FFFFFF"/>
          <w:lang w:val="en-US"/>
        </w:rPr>
        <w:t xml:space="preserve"> pp </w:t>
      </w:r>
      <w:r>
        <w:rPr>
          <w:shd w:val="clear" w:color="auto" w:fill="FFFFFF"/>
          <w:lang w:val="en-US"/>
        </w:rPr>
        <w:t>higher</w:t>
      </w:r>
      <w:r w:rsidRPr="00BA5EC2">
        <w:rPr>
          <w:shd w:val="clear" w:color="auto" w:fill="FFFFFF"/>
          <w:lang w:val="en-US"/>
        </w:rPr>
        <w:t xml:space="preserve"> than in rural areas). For working age popula</w:t>
      </w:r>
      <w:r w:rsidR="00392D0E">
        <w:rPr>
          <w:shd w:val="clear" w:color="auto" w:fill="FFFFFF"/>
          <w:lang w:val="en-US"/>
        </w:rPr>
        <w:t>tion the unemployment rate was 3.1</w:t>
      </w:r>
      <w:r w:rsidRPr="00BA5EC2">
        <w:rPr>
          <w:shd w:val="clear" w:color="auto" w:fill="FFFFFF"/>
          <w:lang w:val="en-US"/>
        </w:rPr>
        <w:t xml:space="preserve">%.  </w:t>
      </w:r>
    </w:p>
    <w:p w:rsidR="00F839E9" w:rsidRPr="00D432E5" w:rsidRDefault="00392D0E" w:rsidP="003825CB">
      <w:pPr>
        <w:rPr>
          <w:shd w:val="clear" w:color="auto" w:fill="FFFFFF"/>
          <w:lang w:val="en-US"/>
        </w:rPr>
      </w:pPr>
      <w:r w:rsidRPr="00392D0E">
        <w:rPr>
          <w:shd w:val="clear" w:color="auto" w:fill="FFFFFF"/>
          <w:lang w:val="en-US"/>
        </w:rPr>
        <w:t xml:space="preserve">Compared to the </w:t>
      </w:r>
      <w:r>
        <w:rPr>
          <w:shd w:val="clear" w:color="auto" w:fill="FFFFFF"/>
          <w:lang w:val="en-US"/>
        </w:rPr>
        <w:t>fourth</w:t>
      </w:r>
      <w:r w:rsidRPr="00392D0E">
        <w:rPr>
          <w:shd w:val="clear" w:color="auto" w:fill="FFFFFF"/>
          <w:lang w:val="en-US"/>
        </w:rPr>
        <w:t xml:space="preserve"> quarter of 2021, the unemployme</w:t>
      </w:r>
      <w:r>
        <w:rPr>
          <w:shd w:val="clear" w:color="auto" w:fill="FFFFFF"/>
          <w:lang w:val="en-US"/>
        </w:rPr>
        <w:t>nt rate in</w:t>
      </w:r>
      <w:r w:rsidRPr="00392D0E">
        <w:rPr>
          <w:shd w:val="clear" w:color="auto" w:fill="FFFFFF"/>
          <w:lang w:val="en-US"/>
        </w:rPr>
        <w:t>creased both among women (by 0.</w:t>
      </w:r>
      <w:r>
        <w:rPr>
          <w:shd w:val="clear" w:color="auto" w:fill="FFFFFF"/>
          <w:lang w:val="en-US"/>
        </w:rPr>
        <w:t>8</w:t>
      </w:r>
      <w:r w:rsidRPr="00392D0E">
        <w:rPr>
          <w:shd w:val="clear" w:color="auto" w:fill="FFFFFF"/>
          <w:lang w:val="en-US"/>
        </w:rPr>
        <w:t xml:space="preserve"> pp), and among men </w:t>
      </w:r>
      <w:r>
        <w:rPr>
          <w:shd w:val="clear" w:color="auto" w:fill="FFFFFF"/>
          <w:lang w:val="en-US"/>
        </w:rPr>
        <w:t>(by 0.6</w:t>
      </w:r>
      <w:r w:rsidRPr="00392D0E">
        <w:rPr>
          <w:shd w:val="clear" w:color="auto" w:fill="FFFFFF"/>
          <w:lang w:val="en-US"/>
        </w:rPr>
        <w:t xml:space="preserve"> pp</w:t>
      </w:r>
      <w:r>
        <w:rPr>
          <w:shd w:val="clear" w:color="auto" w:fill="FFFFFF"/>
          <w:lang w:val="en-US"/>
        </w:rPr>
        <w:t>). There was an in</w:t>
      </w:r>
      <w:r w:rsidRPr="00392D0E">
        <w:rPr>
          <w:shd w:val="clear" w:color="auto" w:fill="FFFFFF"/>
          <w:lang w:val="en-US"/>
        </w:rPr>
        <w:t xml:space="preserve">crease </w:t>
      </w:r>
      <w:r>
        <w:rPr>
          <w:shd w:val="clear" w:color="auto" w:fill="FFFFFF"/>
          <w:lang w:val="en-US"/>
        </w:rPr>
        <w:t xml:space="preserve">both </w:t>
      </w:r>
      <w:r w:rsidRPr="00392D0E">
        <w:rPr>
          <w:shd w:val="clear" w:color="auto" w:fill="FFFFFF"/>
          <w:lang w:val="en-US"/>
        </w:rPr>
        <w:t xml:space="preserve">in </w:t>
      </w:r>
      <w:r>
        <w:rPr>
          <w:shd w:val="clear" w:color="auto" w:fill="FFFFFF"/>
          <w:lang w:val="en-US"/>
        </w:rPr>
        <w:t>urban</w:t>
      </w:r>
      <w:r w:rsidRPr="00392D0E">
        <w:rPr>
          <w:shd w:val="clear" w:color="auto" w:fill="FFFFFF"/>
          <w:lang w:val="en-US"/>
        </w:rPr>
        <w:t xml:space="preserve"> </w:t>
      </w:r>
      <w:r>
        <w:rPr>
          <w:shd w:val="clear" w:color="auto" w:fill="FFFFFF"/>
          <w:lang w:val="en-US"/>
        </w:rPr>
        <w:t>(by 1.0</w:t>
      </w:r>
      <w:r w:rsidRPr="00392D0E">
        <w:rPr>
          <w:shd w:val="clear" w:color="auto" w:fill="FFFFFF"/>
          <w:lang w:val="en-US"/>
        </w:rPr>
        <w:t xml:space="preserve"> pp), and in </w:t>
      </w:r>
      <w:r>
        <w:rPr>
          <w:shd w:val="clear" w:color="auto" w:fill="FFFFFF"/>
          <w:lang w:val="en-US"/>
        </w:rPr>
        <w:t>rural</w:t>
      </w:r>
      <w:r w:rsidRPr="00392D0E">
        <w:rPr>
          <w:shd w:val="clear" w:color="auto" w:fill="FFFFFF"/>
          <w:lang w:val="en-US"/>
        </w:rPr>
        <w:t xml:space="preserve"> areas</w:t>
      </w:r>
      <w:r>
        <w:rPr>
          <w:shd w:val="clear" w:color="auto" w:fill="FFFFFF"/>
          <w:lang w:val="en-US"/>
        </w:rPr>
        <w:t xml:space="preserve"> (by 0.1</w:t>
      </w:r>
      <w:r w:rsidRPr="00392D0E">
        <w:rPr>
          <w:shd w:val="clear" w:color="auto" w:fill="FFFFFF"/>
          <w:lang w:val="en-US"/>
        </w:rPr>
        <w:t xml:space="preserve"> pp)</w:t>
      </w:r>
      <w:r>
        <w:rPr>
          <w:shd w:val="clear" w:color="auto" w:fill="FFFFFF"/>
          <w:lang w:val="en-US"/>
        </w:rPr>
        <w:t>.</w:t>
      </w:r>
      <w:r w:rsidR="00C54312" w:rsidRPr="00A86CFF">
        <w:rPr>
          <w:noProof/>
          <w:shd w:val="clear" w:color="auto" w:fill="FFFFFF"/>
          <w:lang w:eastAsia="pl-PL"/>
        </w:rPr>
        <mc:AlternateContent>
          <mc:Choice Requires="wps">
            <w:drawing>
              <wp:anchor distT="0" distB="0" distL="114300" distR="114300" simplePos="0" relativeHeight="251744256" behindDoc="0" locked="0" layoutInCell="1" allowOverlap="1" wp14:anchorId="05CAF16C" wp14:editId="6FEF27FE">
                <wp:simplePos x="0" y="0"/>
                <wp:positionH relativeFrom="column">
                  <wp:posOffset>5219700</wp:posOffset>
                </wp:positionH>
                <wp:positionV relativeFrom="paragraph">
                  <wp:posOffset>521970</wp:posOffset>
                </wp:positionV>
                <wp:extent cx="1661160" cy="933450"/>
                <wp:effectExtent l="0" t="0" r="0" b="0"/>
                <wp:wrapNone/>
                <wp:docPr id="14" name="Pole tekstowe 14" descr="Women looked for a job shorter than men, and rural residents shorter than urban residents" title="Relevant information"/>
                <wp:cNvGraphicFramePr/>
                <a:graphic xmlns:a="http://schemas.openxmlformats.org/drawingml/2006/main">
                  <a:graphicData uri="http://schemas.microsoft.com/office/word/2010/wordprocessingShape">
                    <wps:wsp>
                      <wps:cNvSpPr txBox="1"/>
                      <wps:spPr>
                        <a:xfrm>
                          <a:off x="0" y="0"/>
                          <a:ext cx="166116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E865DA" w:rsidRDefault="00091E87" w:rsidP="00D56113">
                            <w:pPr>
                              <w:pStyle w:val="Istotnainformacja"/>
                              <w:rPr>
                                <w:lang w:val="en-US"/>
                              </w:rPr>
                            </w:pPr>
                            <w:r w:rsidRPr="00E865DA">
                              <w:rPr>
                                <w:lang w:val="en-US"/>
                              </w:rPr>
                              <w:t xml:space="preserve">Women looked for a job shorter than men, and rural residents shorter than </w:t>
                            </w:r>
                            <w:r>
                              <w:rPr>
                                <w:lang w:val="en-US"/>
                              </w:rPr>
                              <w:t>urban</w:t>
                            </w:r>
                            <w:r w:rsidRPr="00E865DA">
                              <w:rPr>
                                <w:lang w:val="en-US"/>
                              </w:rPr>
                              <w:t xml:space="preserve"> </w:t>
                            </w:r>
                            <w:r>
                              <w:rPr>
                                <w:lang w:val="en-US"/>
                              </w:rPr>
                              <w:t>residents</w:t>
                            </w:r>
                          </w:p>
                          <w:p w:rsidR="00091E87" w:rsidRPr="00E865DA" w:rsidRDefault="00091E87" w:rsidP="00A86CF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AF16C" id="Pole tekstowe 14" o:spid="_x0000_s1034" type="#_x0000_t202" alt="Tytuł: Relevant information — opis: Women looked for a job shorter than men, and rural residents shorter than urban residents" style="position:absolute;margin-left:411pt;margin-top:41.1pt;width:130.8pt;height: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" filled="f" stroked="f" strokeweight=".5pt">
                <v:textbox>
                  <w:txbxContent>
                    <w:p w:rsidR="00091E87" w:rsidRPr="00E865DA" w:rsidRDefault="00091E87" w:rsidP="00D56113">
                      <w:pPr>
                        <w:pStyle w:val="Istotnainformacja"/>
                        <w:rPr>
                          <w:lang w:val="en-US"/>
                        </w:rPr>
                      </w:pPr>
                      <w:r w:rsidRPr="00E865DA">
                        <w:rPr>
                          <w:lang w:val="en-US"/>
                        </w:rPr>
                        <w:t xml:space="preserve">Women looked for a job shorter than men, and rural residents shorter than </w:t>
                      </w:r>
                      <w:r>
                        <w:rPr>
                          <w:lang w:val="en-US"/>
                        </w:rPr>
                        <w:t>urban</w:t>
                      </w:r>
                      <w:r w:rsidRPr="00E865DA">
                        <w:rPr>
                          <w:lang w:val="en-US"/>
                        </w:rPr>
                        <w:t xml:space="preserve"> </w:t>
                      </w:r>
                      <w:r>
                        <w:rPr>
                          <w:lang w:val="en-US"/>
                        </w:rPr>
                        <w:t>residents</w:t>
                      </w:r>
                    </w:p>
                    <w:p w:rsidR="00091E87" w:rsidRPr="00E865DA" w:rsidRDefault="00091E87" w:rsidP="00A86CFF">
                      <w:pPr>
                        <w:rPr>
                          <w:lang w:val="en-US"/>
                        </w:rPr>
                      </w:pPr>
                    </w:p>
                  </w:txbxContent>
                </v:textbox>
              </v:shape>
            </w:pict>
          </mc:Fallback>
        </mc:AlternateContent>
      </w:r>
    </w:p>
    <w:p w:rsidR="00D432E5" w:rsidRPr="00D432E5" w:rsidRDefault="00D432E5" w:rsidP="00D432E5">
      <w:pPr>
        <w:rPr>
          <w:shd w:val="clear" w:color="auto" w:fill="FFFFFF"/>
          <w:lang w:val="en-US"/>
        </w:rPr>
      </w:pPr>
      <w:r w:rsidRPr="00D432E5">
        <w:rPr>
          <w:shd w:val="clear" w:color="auto" w:fill="FFFFFF"/>
          <w:lang w:val="en-US"/>
        </w:rPr>
        <w:t>An average time of job seeking by un</w:t>
      </w:r>
      <w:r>
        <w:rPr>
          <w:shd w:val="clear" w:color="auto" w:fill="FFFFFF"/>
          <w:lang w:val="en-US"/>
        </w:rPr>
        <w:t>employed persons amounted to 7.5</w:t>
      </w:r>
      <w:r w:rsidRPr="00D432E5">
        <w:rPr>
          <w:shd w:val="clear" w:color="auto" w:fill="FFFFFF"/>
          <w:lang w:val="en-US"/>
        </w:rPr>
        <w:t xml:space="preserve"> months. </w:t>
      </w:r>
      <w:r>
        <w:rPr>
          <w:shd w:val="clear" w:color="auto" w:fill="FFFFFF"/>
          <w:lang w:val="en-US"/>
        </w:rPr>
        <w:t>Wom</w:t>
      </w:r>
      <w:r w:rsidRPr="00D432E5">
        <w:rPr>
          <w:shd w:val="clear" w:color="auto" w:fill="FFFFFF"/>
          <w:lang w:val="en-US"/>
        </w:rPr>
        <w:t>en looked for a job</w:t>
      </w:r>
      <w:r>
        <w:rPr>
          <w:shd w:val="clear" w:color="auto" w:fill="FFFFFF"/>
          <w:lang w:val="en-US"/>
        </w:rPr>
        <w:t xml:space="preserve"> for 7 months on average (by 0.8</w:t>
      </w:r>
      <w:r w:rsidRPr="00D432E5">
        <w:rPr>
          <w:shd w:val="clear" w:color="auto" w:fill="FFFFFF"/>
          <w:lang w:val="en-US"/>
        </w:rPr>
        <w:t xml:space="preserve"> months shorter than men), and </w:t>
      </w:r>
      <w:r w:rsidR="00E865DA">
        <w:rPr>
          <w:shd w:val="clear" w:color="auto" w:fill="FFFFFF"/>
          <w:lang w:val="en-US"/>
        </w:rPr>
        <w:t>rural residents for 6.3</w:t>
      </w:r>
      <w:r w:rsidRPr="00D432E5">
        <w:rPr>
          <w:shd w:val="clear" w:color="auto" w:fill="FFFFFF"/>
          <w:lang w:val="en-US"/>
        </w:rPr>
        <w:t xml:space="preserve"> months (by</w:t>
      </w:r>
      <w:r w:rsidR="00E865DA">
        <w:rPr>
          <w:shd w:val="clear" w:color="auto" w:fill="FFFFFF"/>
          <w:lang w:val="en-US"/>
        </w:rPr>
        <w:t xml:space="preserve"> 1.7</w:t>
      </w:r>
      <w:r w:rsidRPr="00D432E5">
        <w:rPr>
          <w:shd w:val="clear" w:color="auto" w:fill="FFFFFF"/>
          <w:lang w:val="en-US"/>
        </w:rPr>
        <w:t xml:space="preserve"> months shorter than urban residents).  </w:t>
      </w:r>
      <w:r>
        <w:rPr>
          <w:shd w:val="clear" w:color="auto" w:fill="FFFFFF"/>
          <w:lang w:val="en-US"/>
        </w:rPr>
        <w:t xml:space="preserve"> </w:t>
      </w:r>
    </w:p>
    <w:p w:rsidR="00E865DA" w:rsidRPr="00E865DA" w:rsidRDefault="00E865DA" w:rsidP="00E865DA">
      <w:pPr>
        <w:rPr>
          <w:shd w:val="clear" w:color="auto" w:fill="FFFFFF"/>
          <w:lang w:val="en-US"/>
        </w:rPr>
      </w:pPr>
      <w:r w:rsidRPr="00E865DA">
        <w:rPr>
          <w:shd w:val="clear" w:color="auto" w:fill="FFFFFF"/>
          <w:lang w:val="en-US"/>
        </w:rPr>
        <w:t>The population of long-term unemployed persons (13 m</w:t>
      </w:r>
      <w:r>
        <w:rPr>
          <w:shd w:val="clear" w:color="auto" w:fill="FFFFFF"/>
          <w:lang w:val="en-US"/>
        </w:rPr>
        <w:t>onths and more) accounted for 15</w:t>
      </w:r>
      <w:r w:rsidRPr="00E865DA">
        <w:rPr>
          <w:shd w:val="clear" w:color="auto" w:fill="FFFFFF"/>
          <w:lang w:val="en-US"/>
        </w:rPr>
        <w:t>.0% of the total unemployed</w:t>
      </w:r>
      <w:r>
        <w:rPr>
          <w:shd w:val="clear" w:color="auto" w:fill="FFFFFF"/>
          <w:lang w:val="en-US"/>
        </w:rPr>
        <w:t xml:space="preserve"> (decrease by 3.0</w:t>
      </w:r>
      <w:r w:rsidRPr="00E865DA">
        <w:rPr>
          <w:shd w:val="clear" w:color="auto" w:fill="FFFFFF"/>
          <w:lang w:val="en-US"/>
        </w:rPr>
        <w:t xml:space="preserve"> pp compared to the </w:t>
      </w:r>
      <w:r>
        <w:rPr>
          <w:shd w:val="clear" w:color="auto" w:fill="FFFFFF"/>
          <w:lang w:val="en-US"/>
        </w:rPr>
        <w:t>fourth</w:t>
      </w:r>
      <w:r w:rsidRPr="00E865DA">
        <w:rPr>
          <w:shd w:val="clear" w:color="auto" w:fill="FFFFFF"/>
          <w:lang w:val="en-US"/>
        </w:rPr>
        <w:t xml:space="preserve"> quarter of 2021).  </w:t>
      </w:r>
      <w:r>
        <w:rPr>
          <w:shd w:val="clear" w:color="auto" w:fill="FFFFFF"/>
          <w:lang w:val="en-US"/>
        </w:rPr>
        <w:t xml:space="preserve"> </w:t>
      </w:r>
      <w:r w:rsidRPr="00E865DA">
        <w:rPr>
          <w:shd w:val="clear" w:color="auto" w:fill="FFFFFF"/>
          <w:lang w:val="en-US"/>
        </w:rPr>
        <w:t xml:space="preserve"> </w:t>
      </w:r>
    </w:p>
    <w:p w:rsidR="00767197" w:rsidRPr="004C36A1" w:rsidRDefault="00F15A83" w:rsidP="00D139A5">
      <w:pPr>
        <w:pStyle w:val="tytuwykresu"/>
        <w:rPr>
          <w:shd w:val="clear" w:color="auto" w:fill="FFFFFF"/>
          <w:lang w:val="en-US"/>
        </w:rPr>
      </w:pPr>
      <w:r>
        <w:rPr>
          <w:noProof/>
          <w:shd w:val="clear" w:color="auto" w:fill="FFFFFF"/>
          <w:lang w:eastAsia="pl-PL"/>
        </w:rPr>
        <w:drawing>
          <wp:anchor distT="0" distB="0" distL="114300" distR="114300" simplePos="0" relativeHeight="252133376" behindDoc="0" locked="0" layoutInCell="1" allowOverlap="1">
            <wp:simplePos x="0" y="0"/>
            <wp:positionH relativeFrom="margin">
              <wp:align>right</wp:align>
            </wp:positionH>
            <wp:positionV relativeFrom="page">
              <wp:posOffset>3219450</wp:posOffset>
            </wp:positionV>
            <wp:extent cx="5122545" cy="1815465"/>
            <wp:effectExtent l="0" t="0" r="1905" b="0"/>
            <wp:wrapTopAndBottom/>
            <wp:docPr id="38" name="Obraz 38" descr="The bar chart shows the economically inactive aged 15-74 according to selected causes of inactivity in the 1st quarter of 2022. The data for the chart is available in the attached excel file." title="Chart 7. Economically inactive persons aged 15-74 by selected causes of economic in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el wykresy 1 kw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22545" cy="1815465"/>
                    </a:xfrm>
                    <a:prstGeom prst="rect">
                      <a:avLst/>
                    </a:prstGeom>
                  </pic:spPr>
                </pic:pic>
              </a:graphicData>
            </a:graphic>
          </wp:anchor>
        </w:drawing>
      </w:r>
      <w:r w:rsidR="00E865DA" w:rsidRPr="00E865DA">
        <w:rPr>
          <w:shd w:val="clear" w:color="auto" w:fill="FFFFFF"/>
          <w:lang w:val="en-US"/>
        </w:rPr>
        <w:t xml:space="preserve">Chart 6. Structure of the unemployed by duration of job seeking in </w:t>
      </w:r>
      <w:r w:rsidR="00E865DA">
        <w:rPr>
          <w:shd w:val="clear" w:color="auto" w:fill="FFFFFF"/>
          <w:lang w:val="en-US"/>
        </w:rPr>
        <w:t xml:space="preserve">the first quarter of 2022 </w:t>
      </w:r>
    </w:p>
    <w:p w:rsidR="003207BD" w:rsidRPr="00E865DA" w:rsidRDefault="00E865DA" w:rsidP="00CD319A">
      <w:pPr>
        <w:pStyle w:val="Nagwek1"/>
        <w:spacing w:before="120"/>
        <w:rPr>
          <w:shd w:val="clear" w:color="auto" w:fill="FFFFFF"/>
          <w:lang w:val="en-US"/>
        </w:rPr>
      </w:pPr>
      <w:r w:rsidRPr="00E865DA">
        <w:rPr>
          <w:shd w:val="clear" w:color="auto" w:fill="FFFFFF"/>
          <w:lang w:val="en-US"/>
        </w:rPr>
        <w:t xml:space="preserve">Economically inactive persons </w:t>
      </w:r>
      <w:r w:rsidR="00CD319A" w:rsidRPr="00F556C5">
        <w:rPr>
          <w:noProof/>
        </w:rPr>
        <mc:AlternateContent>
          <mc:Choice Requires="wps">
            <w:drawing>
              <wp:anchor distT="0" distB="0" distL="114300" distR="114300" simplePos="0" relativeHeight="251772928" behindDoc="0" locked="0" layoutInCell="1" allowOverlap="1" wp14:anchorId="13F8FEA8" wp14:editId="1935902E">
                <wp:simplePos x="0" y="0"/>
                <wp:positionH relativeFrom="column">
                  <wp:posOffset>5200650</wp:posOffset>
                </wp:positionH>
                <wp:positionV relativeFrom="paragraph">
                  <wp:posOffset>1628140</wp:posOffset>
                </wp:positionV>
                <wp:extent cx="1680210" cy="619125"/>
                <wp:effectExtent l="0" t="0" r="0" b="0"/>
                <wp:wrapNone/>
                <wp:docPr id="18" name="Pole tekstowe 18" descr="Among the economically inactive women predominate – almost 62% " title="Relevant information"/>
                <wp:cNvGraphicFramePr/>
                <a:graphic xmlns:a="http://schemas.openxmlformats.org/drawingml/2006/main">
                  <a:graphicData uri="http://schemas.microsoft.com/office/word/2010/wordprocessingShape">
                    <wps:wsp>
                      <wps:cNvSpPr txBox="1"/>
                      <wps:spPr>
                        <a:xfrm>
                          <a:off x="0" y="0"/>
                          <a:ext cx="168021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E87" w:rsidRPr="00E865DA" w:rsidRDefault="00091E87" w:rsidP="00D56113">
                            <w:pPr>
                              <w:pStyle w:val="Istotnainformacja"/>
                              <w:rPr>
                                <w:lang w:val="en-US"/>
                              </w:rPr>
                            </w:pPr>
                            <w:r w:rsidRPr="00E865DA">
                              <w:rPr>
                                <w:lang w:val="en-US"/>
                              </w:rPr>
                              <w:t xml:space="preserve">Among the economically inactive women predominate – </w:t>
                            </w:r>
                            <w:r>
                              <w:rPr>
                                <w:lang w:val="en-US"/>
                              </w:rPr>
                              <w:t>almost 62</w:t>
                            </w:r>
                            <w:r w:rsidRPr="00E865DA">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FEA8" id="Pole tekstowe 18" o:spid="_x0000_s1035" type="#_x0000_t202" alt="Tytuł: Relevant information — opis: Among the economically inactive women predominate – almost 62% " style="position:absolute;margin-left:409.5pt;margin-top:128.2pt;width:132.3pt;height:4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" filled="f" stroked="f" strokeweight=".5pt">
                <v:textbox>
                  <w:txbxContent>
                    <w:p w:rsidR="00091E87" w:rsidRPr="00E865DA" w:rsidRDefault="00091E87" w:rsidP="00D56113">
                      <w:pPr>
                        <w:pStyle w:val="Istotnainformacja"/>
                        <w:rPr>
                          <w:lang w:val="en-US"/>
                        </w:rPr>
                      </w:pPr>
                      <w:r w:rsidRPr="00E865DA">
                        <w:rPr>
                          <w:lang w:val="en-US"/>
                        </w:rPr>
                        <w:t xml:space="preserve">Among the economically inactive women predominate – </w:t>
                      </w:r>
                      <w:r>
                        <w:rPr>
                          <w:lang w:val="en-US"/>
                        </w:rPr>
                        <w:t>almost 62</w:t>
                      </w:r>
                      <w:r w:rsidRPr="00E865DA">
                        <w:rPr>
                          <w:lang w:val="en-US"/>
                        </w:rPr>
                        <w:t xml:space="preserve">% </w:t>
                      </w:r>
                    </w:p>
                  </w:txbxContent>
                </v:textbox>
              </v:shape>
            </w:pict>
          </mc:Fallback>
        </mc:AlternateContent>
      </w:r>
    </w:p>
    <w:p w:rsidR="00E865DA" w:rsidRPr="00E865DA" w:rsidRDefault="00E865DA" w:rsidP="00E865DA">
      <w:pPr>
        <w:rPr>
          <w:shd w:val="clear" w:color="auto" w:fill="FFFFFF"/>
          <w:lang w:val="en-US"/>
        </w:rPr>
      </w:pPr>
      <w:r w:rsidRPr="00E865DA">
        <w:rPr>
          <w:shd w:val="clear" w:color="auto" w:fill="FFFFFF"/>
          <w:lang w:val="en-US"/>
        </w:rPr>
        <w:t xml:space="preserve">In the </w:t>
      </w:r>
      <w:r w:rsidR="004B0E4F">
        <w:rPr>
          <w:shd w:val="clear" w:color="auto" w:fill="FFFFFF"/>
          <w:lang w:val="en-US"/>
        </w:rPr>
        <w:t>first</w:t>
      </w:r>
      <w:r w:rsidRPr="00E865DA">
        <w:rPr>
          <w:shd w:val="clear" w:color="auto" w:fill="FFFFFF"/>
          <w:lang w:val="en-US"/>
        </w:rPr>
        <w:t xml:space="preserve"> quarter of 202</w:t>
      </w:r>
      <w:r w:rsidR="00C0096A">
        <w:rPr>
          <w:shd w:val="clear" w:color="auto" w:fill="FFFFFF"/>
          <w:lang w:val="en-US"/>
        </w:rPr>
        <w:t>2</w:t>
      </w:r>
      <w:r w:rsidRPr="00E865DA">
        <w:rPr>
          <w:shd w:val="clear" w:color="auto" w:fill="FFFFFF"/>
          <w:lang w:val="en-US"/>
        </w:rPr>
        <w:t>,</w:t>
      </w:r>
      <w:r w:rsidR="004B0E4F">
        <w:rPr>
          <w:shd w:val="clear" w:color="auto" w:fill="FFFFFF"/>
          <w:lang w:val="en-US"/>
        </w:rPr>
        <w:t xml:space="preserve"> in </w:t>
      </w:r>
      <w:proofErr w:type="spellStart"/>
      <w:r w:rsidR="004B0E4F">
        <w:rPr>
          <w:shd w:val="clear" w:color="auto" w:fill="FFFFFF"/>
          <w:lang w:val="en-US"/>
        </w:rPr>
        <w:t>Mazowieckie</w:t>
      </w:r>
      <w:proofErr w:type="spellEnd"/>
      <w:r w:rsidR="004B0E4F">
        <w:rPr>
          <w:shd w:val="clear" w:color="auto" w:fill="FFFFFF"/>
          <w:lang w:val="en-US"/>
        </w:rPr>
        <w:t xml:space="preserve"> Voivodship, 1629</w:t>
      </w:r>
      <w:r w:rsidRPr="00E865DA">
        <w:rPr>
          <w:shd w:val="clear" w:color="auto" w:fill="FFFFFF"/>
          <w:lang w:val="en-US"/>
        </w:rPr>
        <w:t xml:space="preserve"> thousand persons remained economically inactive, which accounted for </w:t>
      </w:r>
      <w:r w:rsidR="004B0E4F">
        <w:rPr>
          <w:shd w:val="clear" w:color="auto" w:fill="FFFFFF"/>
          <w:lang w:val="en-US"/>
        </w:rPr>
        <w:t>37.9</w:t>
      </w:r>
      <w:r w:rsidRPr="00E865DA">
        <w:rPr>
          <w:shd w:val="clear" w:color="auto" w:fill="FFFFFF"/>
          <w:lang w:val="en-US"/>
        </w:rPr>
        <w:t>% of total population a</w:t>
      </w:r>
      <w:r w:rsidR="004B0E4F">
        <w:rPr>
          <w:shd w:val="clear" w:color="auto" w:fill="FFFFFF"/>
          <w:lang w:val="en-US"/>
        </w:rPr>
        <w:t>ged 15-89 (in rural areas – 38.7% and in urban areas – 37.4</w:t>
      </w:r>
      <w:r w:rsidRPr="00E865DA">
        <w:rPr>
          <w:shd w:val="clear" w:color="auto" w:fill="FFFFFF"/>
          <w:lang w:val="en-US"/>
        </w:rPr>
        <w:t xml:space="preserve">%). Still, in this population women were the majority – </w:t>
      </w:r>
      <w:r w:rsidR="004B0E4F">
        <w:rPr>
          <w:shd w:val="clear" w:color="auto" w:fill="FFFFFF"/>
          <w:lang w:val="en-US"/>
        </w:rPr>
        <w:t>61</w:t>
      </w:r>
      <w:r w:rsidRPr="00E865DA">
        <w:rPr>
          <w:shd w:val="clear" w:color="auto" w:fill="FFFFFF"/>
          <w:lang w:val="en-US"/>
        </w:rPr>
        <w:t>.6%. Among economically inactive persons, as in previous periods, persons with lower secondary and less educatio</w:t>
      </w:r>
      <w:r w:rsidR="004B0E4F">
        <w:rPr>
          <w:shd w:val="clear" w:color="auto" w:fill="FFFFFF"/>
          <w:lang w:val="en-US"/>
        </w:rPr>
        <w:t>n predominated – 29.0</w:t>
      </w:r>
      <w:r w:rsidRPr="00E865DA">
        <w:rPr>
          <w:shd w:val="clear" w:color="auto" w:fill="FFFFFF"/>
          <w:lang w:val="en-US"/>
        </w:rPr>
        <w:t>%. Wor</w:t>
      </w:r>
      <w:r w:rsidR="004B0E4F">
        <w:rPr>
          <w:shd w:val="clear" w:color="auto" w:fill="FFFFFF"/>
          <w:lang w:val="en-US"/>
        </w:rPr>
        <w:t>king age population made up 28.6</w:t>
      </w:r>
      <w:r w:rsidRPr="00E865DA">
        <w:rPr>
          <w:shd w:val="clear" w:color="auto" w:fill="FFFFFF"/>
          <w:lang w:val="en-US"/>
        </w:rPr>
        <w:t xml:space="preserve">% of total economically inactive persons.  </w:t>
      </w:r>
      <w:r>
        <w:rPr>
          <w:shd w:val="clear" w:color="auto" w:fill="FFFFFF"/>
          <w:lang w:val="en-US"/>
        </w:rPr>
        <w:t xml:space="preserve"> </w:t>
      </w:r>
    </w:p>
    <w:p w:rsidR="007A1F68" w:rsidRPr="004961CE" w:rsidRDefault="007A1F68" w:rsidP="00CD319A">
      <w:pPr>
        <w:pStyle w:val="tytuwykresu"/>
        <w:spacing w:before="120"/>
        <w:rPr>
          <w:shd w:val="clear" w:color="auto" w:fill="FFFFFF"/>
          <w:lang w:val="en-US"/>
        </w:rPr>
      </w:pPr>
    </w:p>
    <w:p w:rsidR="004B4D47" w:rsidRPr="004B0E4F" w:rsidRDefault="00F15A83" w:rsidP="00CD319A">
      <w:pPr>
        <w:pStyle w:val="tytuwykresu"/>
        <w:spacing w:before="120"/>
        <w:rPr>
          <w:shd w:val="clear" w:color="auto" w:fill="FFFFFF"/>
          <w:lang w:val="en-US"/>
        </w:rPr>
      </w:pPr>
      <w:r>
        <w:rPr>
          <w:noProof/>
          <w:shd w:val="clear" w:color="auto" w:fill="FFFFFF"/>
          <w:lang w:eastAsia="pl-PL"/>
        </w:rPr>
        <w:drawing>
          <wp:anchor distT="0" distB="0" distL="114300" distR="114300" simplePos="0" relativeHeight="252132352" behindDoc="0" locked="0" layoutInCell="1" allowOverlap="1">
            <wp:simplePos x="0" y="0"/>
            <wp:positionH relativeFrom="margin">
              <wp:align>right</wp:align>
            </wp:positionH>
            <wp:positionV relativeFrom="page">
              <wp:posOffset>6905625</wp:posOffset>
            </wp:positionV>
            <wp:extent cx="5122545" cy="1565275"/>
            <wp:effectExtent l="0" t="0" r="1905" b="0"/>
            <wp:wrapTopAndBottom/>
            <wp:docPr id="36" name="Obraz 36" descr="The pie chart shows the structure of the employed by the period of looking for a job in the 1st quarter of 2022. The data for the chart is available in the attached excel file." title="Chart 6. Structure of the unemployed by duration of job seeking in the first quarter of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el wykresy 1 kw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22545" cy="1565275"/>
                    </a:xfrm>
                    <a:prstGeom prst="rect">
                      <a:avLst/>
                    </a:prstGeom>
                  </pic:spPr>
                </pic:pic>
              </a:graphicData>
            </a:graphic>
          </wp:anchor>
        </w:drawing>
      </w:r>
      <w:r w:rsidR="004B0E4F" w:rsidRPr="004B0E4F">
        <w:rPr>
          <w:shd w:val="clear" w:color="auto" w:fill="FFFFFF"/>
          <w:lang w:val="en-US"/>
        </w:rPr>
        <w:t>Chart</w:t>
      </w:r>
      <w:r w:rsidR="00A86CFF" w:rsidRPr="004B0E4F">
        <w:rPr>
          <w:shd w:val="clear" w:color="auto" w:fill="FFFFFF"/>
          <w:lang w:val="en-US"/>
        </w:rPr>
        <w:t xml:space="preserve"> </w:t>
      </w:r>
      <w:r w:rsidR="004A47B4" w:rsidRPr="004B0E4F">
        <w:rPr>
          <w:shd w:val="clear" w:color="auto" w:fill="FFFFFF"/>
          <w:lang w:val="en-US"/>
        </w:rPr>
        <w:t>7</w:t>
      </w:r>
      <w:r w:rsidR="00A86CFF" w:rsidRPr="004B0E4F">
        <w:rPr>
          <w:shd w:val="clear" w:color="auto" w:fill="FFFFFF"/>
          <w:lang w:val="en-US"/>
        </w:rPr>
        <w:t xml:space="preserve">. </w:t>
      </w:r>
      <w:r w:rsidR="004B0E4F" w:rsidRPr="004B0E4F">
        <w:rPr>
          <w:shd w:val="clear" w:color="auto" w:fill="FFFFFF"/>
          <w:lang w:val="en-US"/>
        </w:rPr>
        <w:t>Economically inactive persons aged 15-74 by selected causes of economic inactivity*</w:t>
      </w:r>
      <w:r w:rsidR="004B0E4F" w:rsidRPr="004B0E4F">
        <w:rPr>
          <w:shd w:val="clear" w:color="auto" w:fill="FFFFFF"/>
          <w:lang w:val="en-US"/>
        </w:rPr>
        <w:br/>
        <w:t xml:space="preserve">                    in the </w:t>
      </w:r>
      <w:r w:rsidR="004B0E4F">
        <w:rPr>
          <w:shd w:val="clear" w:color="auto" w:fill="FFFFFF"/>
          <w:lang w:val="en-US"/>
        </w:rPr>
        <w:t>first quarter of 2022</w:t>
      </w:r>
    </w:p>
    <w:p w:rsidR="00CD319A" w:rsidRPr="004B0E4F" w:rsidRDefault="00CD319A" w:rsidP="00D139A5">
      <w:pPr>
        <w:rPr>
          <w:lang w:val="en-US"/>
        </w:rPr>
      </w:pPr>
    </w:p>
    <w:p w:rsidR="002E1671" w:rsidRPr="002E1671" w:rsidRDefault="002E1671" w:rsidP="002E1671">
      <w:pPr>
        <w:rPr>
          <w:lang w:val="en-US"/>
        </w:rPr>
      </w:pPr>
      <w:r w:rsidRPr="002E1671">
        <w:rPr>
          <w:lang w:val="en-US"/>
        </w:rPr>
        <w:t xml:space="preserve">Compared to the </w:t>
      </w:r>
      <w:r w:rsidR="009C588D">
        <w:rPr>
          <w:lang w:val="en-US"/>
        </w:rPr>
        <w:t>fourth</w:t>
      </w:r>
      <w:r w:rsidRPr="002E1671">
        <w:rPr>
          <w:lang w:val="en-US"/>
        </w:rPr>
        <w:t xml:space="preserve"> quarter of 2021, the population of economically</w:t>
      </w:r>
      <w:r w:rsidR="009C588D">
        <w:rPr>
          <w:lang w:val="en-US"/>
        </w:rPr>
        <w:t xml:space="preserve"> inactive persons de</w:t>
      </w:r>
      <w:r w:rsidRPr="002E1671">
        <w:rPr>
          <w:lang w:val="en-US"/>
        </w:rPr>
        <w:t>creased by 1</w:t>
      </w:r>
      <w:r w:rsidR="009C588D">
        <w:rPr>
          <w:lang w:val="en-US"/>
        </w:rPr>
        <w:t>.2</w:t>
      </w:r>
      <w:r w:rsidRPr="002E1671">
        <w:rPr>
          <w:lang w:val="en-US"/>
        </w:rPr>
        <w:t xml:space="preserve">% (among </w:t>
      </w:r>
      <w:r w:rsidR="009C588D">
        <w:rPr>
          <w:lang w:val="en-US"/>
        </w:rPr>
        <w:t>wo</w:t>
      </w:r>
      <w:r w:rsidRPr="002E1671">
        <w:rPr>
          <w:lang w:val="en-US"/>
        </w:rPr>
        <w:t xml:space="preserve">men it </w:t>
      </w:r>
      <w:r w:rsidR="009C588D">
        <w:rPr>
          <w:lang w:val="en-US"/>
        </w:rPr>
        <w:t>de</w:t>
      </w:r>
      <w:r w:rsidRPr="002E1671">
        <w:rPr>
          <w:lang w:val="en-US"/>
        </w:rPr>
        <w:t>creased by 2.7</w:t>
      </w:r>
      <w:r w:rsidR="009C588D">
        <w:rPr>
          <w:lang w:val="en-US"/>
        </w:rPr>
        <w:t xml:space="preserve">%, and among </w:t>
      </w:r>
      <w:r w:rsidRPr="002E1671">
        <w:rPr>
          <w:lang w:val="en-US"/>
        </w:rPr>
        <w:t xml:space="preserve">men </w:t>
      </w:r>
      <w:r w:rsidR="009C588D">
        <w:rPr>
          <w:lang w:val="en-US"/>
        </w:rPr>
        <w:t>by 1.3</w:t>
      </w:r>
      <w:r w:rsidRPr="002E1671">
        <w:rPr>
          <w:lang w:val="en-US"/>
        </w:rPr>
        <w:t xml:space="preserve"> pp). Taking into account the pla</w:t>
      </w:r>
      <w:r w:rsidR="009C588D">
        <w:rPr>
          <w:lang w:val="en-US"/>
        </w:rPr>
        <w:t>ce of residence, there was a de</w:t>
      </w:r>
      <w:r w:rsidRPr="002E1671">
        <w:rPr>
          <w:lang w:val="en-US"/>
        </w:rPr>
        <w:t xml:space="preserve">crease in the number of economically inactive persons </w:t>
      </w:r>
      <w:r w:rsidR="009C588D">
        <w:rPr>
          <w:lang w:val="en-US"/>
        </w:rPr>
        <w:t xml:space="preserve">both </w:t>
      </w:r>
      <w:r w:rsidRPr="002E1671">
        <w:rPr>
          <w:lang w:val="en-US"/>
        </w:rPr>
        <w:t xml:space="preserve">among </w:t>
      </w:r>
      <w:r w:rsidR="009C588D">
        <w:rPr>
          <w:lang w:val="en-US"/>
        </w:rPr>
        <w:t>rural</w:t>
      </w:r>
      <w:r w:rsidRPr="002E1671">
        <w:rPr>
          <w:lang w:val="en-US"/>
        </w:rPr>
        <w:t xml:space="preserve"> </w:t>
      </w:r>
      <w:r w:rsidR="009C588D">
        <w:rPr>
          <w:lang w:val="en-US"/>
        </w:rPr>
        <w:t>(by 1.6</w:t>
      </w:r>
      <w:r w:rsidRPr="002E1671">
        <w:rPr>
          <w:lang w:val="en-US"/>
        </w:rPr>
        <w:t xml:space="preserve">%), and </w:t>
      </w:r>
      <w:r w:rsidR="009C588D">
        <w:rPr>
          <w:lang w:val="en-US"/>
        </w:rPr>
        <w:t>urban</w:t>
      </w:r>
      <w:r w:rsidRPr="002E1671">
        <w:rPr>
          <w:lang w:val="en-US"/>
        </w:rPr>
        <w:t xml:space="preserve"> residents</w:t>
      </w:r>
      <w:r w:rsidR="009C588D">
        <w:rPr>
          <w:lang w:val="en-US"/>
        </w:rPr>
        <w:t xml:space="preserve"> (0.9</w:t>
      </w:r>
      <w:r w:rsidRPr="002E1671">
        <w:rPr>
          <w:lang w:val="en-US"/>
        </w:rPr>
        <w:t xml:space="preserve">%). </w:t>
      </w:r>
    </w:p>
    <w:p w:rsidR="009C588D" w:rsidRPr="009C588D" w:rsidRDefault="009C588D" w:rsidP="009C588D">
      <w:pPr>
        <w:rPr>
          <w:lang w:val="en-US"/>
        </w:rPr>
      </w:pPr>
      <w:r w:rsidRPr="009C588D">
        <w:rPr>
          <w:lang w:val="en-US"/>
        </w:rPr>
        <w:t>Out of total economically inactive persons, 5</w:t>
      </w:r>
      <w:r>
        <w:rPr>
          <w:lang w:val="en-US"/>
        </w:rPr>
        <w:t>3</w:t>
      </w:r>
      <w:r w:rsidRPr="009C588D">
        <w:rPr>
          <w:lang w:val="en-US"/>
        </w:rPr>
        <w:t>.9% accounted for persons who did not seek work because of being retired. Other reasons for economic inactivity wer</w:t>
      </w:r>
      <w:r>
        <w:rPr>
          <w:lang w:val="en-US"/>
        </w:rPr>
        <w:t>e: education and training – 23.1%, illness or disability – 10.7</w:t>
      </w:r>
      <w:r w:rsidRPr="009C588D">
        <w:rPr>
          <w:lang w:val="en-US"/>
        </w:rPr>
        <w:t xml:space="preserve">%, family and </w:t>
      </w:r>
      <w:r>
        <w:rPr>
          <w:lang w:val="en-US"/>
        </w:rPr>
        <w:t>household responsibilities – 7.5</w:t>
      </w:r>
      <w:r w:rsidRPr="009C588D">
        <w:rPr>
          <w:lang w:val="en-US"/>
        </w:rPr>
        <w:t xml:space="preserve">%. </w:t>
      </w:r>
    </w:p>
    <w:p w:rsidR="00201C24" w:rsidRPr="004961CE" w:rsidRDefault="00201C24" w:rsidP="00201C24">
      <w:pPr>
        <w:spacing w:line="60" w:lineRule="exact"/>
        <w:jc w:val="both"/>
        <w:rPr>
          <w:rFonts w:cs="Arial"/>
          <w:szCs w:val="19"/>
          <w:lang w:val="en-US"/>
        </w:rPr>
      </w:pPr>
    </w:p>
    <w:p w:rsidR="00091E87" w:rsidRPr="00091E87" w:rsidRDefault="00091E87" w:rsidP="00091E87">
      <w:pPr>
        <w:spacing w:before="360" w:line="240" w:lineRule="auto"/>
        <w:jc w:val="both"/>
        <w:rPr>
          <w:rFonts w:cs="Arial"/>
          <w:b/>
          <w:szCs w:val="19"/>
          <w:lang w:val="en-US"/>
        </w:rPr>
      </w:pPr>
      <w:r w:rsidRPr="00091E87">
        <w:rPr>
          <w:rFonts w:cs="Arial"/>
          <w:b/>
          <w:szCs w:val="19"/>
          <w:lang w:val="en-US"/>
        </w:rPr>
        <w:lastRenderedPageBreak/>
        <w:t>Table 1. Economic activity of population aged 15-89 by selected indicators</w:t>
      </w:r>
    </w:p>
    <w:tbl>
      <w:tblPr>
        <w:tblW w:w="4944" w:type="pct"/>
        <w:tblInd w:w="108" w:type="dxa"/>
        <w:tblBorders>
          <w:top w:val="single" w:sz="4" w:space="0" w:color="008000"/>
          <w:bottom w:val="single" w:sz="4" w:space="0" w:color="008000"/>
          <w:insideH w:val="single" w:sz="4" w:space="0" w:color="008000"/>
          <w:insideV w:val="single" w:sz="4" w:space="0" w:color="008000"/>
        </w:tblBorders>
        <w:tblLayout w:type="fixed"/>
        <w:tblLook w:val="01E0" w:firstRow="1" w:lastRow="1" w:firstColumn="1" w:lastColumn="1" w:noHBand="0" w:noVBand="0"/>
        <w:tblCaption w:val="Tablica 1"/>
        <w:tblDescription w:val="Aktywność ekonomiczna ludności w wieku 15–89 lat według wybranych wskaźników"/>
      </w:tblPr>
      <w:tblGrid>
        <w:gridCol w:w="2159"/>
        <w:gridCol w:w="1845"/>
        <w:gridCol w:w="1901"/>
        <w:gridCol w:w="2072"/>
      </w:tblGrid>
      <w:tr w:rsidR="0010041F" w:rsidRPr="00955174" w:rsidTr="0010041F">
        <w:trPr>
          <w:trHeight w:val="420"/>
        </w:trPr>
        <w:tc>
          <w:tcPr>
            <w:tcW w:w="2159" w:type="dxa"/>
            <w:vMerge w:val="restart"/>
            <w:tcBorders>
              <w:top w:val="nil"/>
              <w:left w:val="nil"/>
              <w:right w:val="single" w:sz="4" w:space="0" w:color="001D77"/>
            </w:tcBorders>
            <w:shd w:val="clear" w:color="auto" w:fill="auto"/>
            <w:vAlign w:val="center"/>
          </w:tcPr>
          <w:p w:rsidR="0010041F" w:rsidRPr="00201C24" w:rsidRDefault="00091E87" w:rsidP="00D139A5">
            <w:pPr>
              <w:pStyle w:val="Gwkatablicy"/>
            </w:pPr>
            <w:proofErr w:type="spellStart"/>
            <w:r>
              <w:t>Specification</w:t>
            </w:r>
            <w:proofErr w:type="spellEnd"/>
          </w:p>
        </w:tc>
        <w:tc>
          <w:tcPr>
            <w:tcW w:w="1845" w:type="dxa"/>
            <w:tcBorders>
              <w:top w:val="nil"/>
              <w:left w:val="single" w:sz="4" w:space="0" w:color="001D77"/>
              <w:bottom w:val="single" w:sz="4" w:space="0" w:color="001D77"/>
              <w:right w:val="nil"/>
            </w:tcBorders>
            <w:shd w:val="clear" w:color="auto" w:fill="auto"/>
            <w:vAlign w:val="center"/>
          </w:tcPr>
          <w:p w:rsidR="0010041F" w:rsidRPr="00201C24" w:rsidRDefault="0010041F" w:rsidP="00D139A5">
            <w:pPr>
              <w:pStyle w:val="Gwkatablicy"/>
            </w:pPr>
            <w:r w:rsidRPr="00201C24">
              <w:t>2021</w:t>
            </w:r>
          </w:p>
        </w:tc>
        <w:tc>
          <w:tcPr>
            <w:tcW w:w="3973" w:type="dxa"/>
            <w:gridSpan w:val="2"/>
            <w:tcBorders>
              <w:top w:val="nil"/>
              <w:left w:val="single" w:sz="4" w:space="0" w:color="001D77"/>
              <w:bottom w:val="single" w:sz="4" w:space="0" w:color="001D77"/>
              <w:right w:val="nil"/>
            </w:tcBorders>
            <w:shd w:val="clear" w:color="auto" w:fill="auto"/>
            <w:vAlign w:val="center"/>
          </w:tcPr>
          <w:p w:rsidR="0010041F" w:rsidRPr="00201C24" w:rsidRDefault="0010041F" w:rsidP="00D139A5">
            <w:pPr>
              <w:pStyle w:val="Gwkatablicy"/>
            </w:pPr>
            <w:r>
              <w:t>2022</w:t>
            </w:r>
          </w:p>
        </w:tc>
      </w:tr>
      <w:tr w:rsidR="00F512F0" w:rsidRPr="00955174" w:rsidTr="0010041F">
        <w:trPr>
          <w:trHeight w:val="420"/>
        </w:trPr>
        <w:tc>
          <w:tcPr>
            <w:tcW w:w="2159" w:type="dxa"/>
            <w:vMerge/>
            <w:tcBorders>
              <w:left w:val="nil"/>
              <w:right w:val="single" w:sz="4" w:space="0" w:color="001D77"/>
            </w:tcBorders>
            <w:shd w:val="clear" w:color="auto" w:fill="auto"/>
            <w:vAlign w:val="center"/>
          </w:tcPr>
          <w:p w:rsidR="00F512F0" w:rsidRPr="00201C24" w:rsidRDefault="00F512F0" w:rsidP="0010342B">
            <w:pPr>
              <w:spacing w:line="240" w:lineRule="exact"/>
              <w:jc w:val="center"/>
              <w:rPr>
                <w:szCs w:val="19"/>
                <w:shd w:val="clear" w:color="auto" w:fill="FFFFFF"/>
              </w:rPr>
            </w:pPr>
          </w:p>
        </w:tc>
        <w:tc>
          <w:tcPr>
            <w:tcW w:w="1845" w:type="dxa"/>
            <w:tcBorders>
              <w:top w:val="nil"/>
              <w:left w:val="single" w:sz="4" w:space="0" w:color="001D77"/>
              <w:bottom w:val="single" w:sz="4" w:space="0" w:color="001D77"/>
              <w:right w:val="single" w:sz="4" w:space="0" w:color="001D77"/>
            </w:tcBorders>
            <w:shd w:val="clear" w:color="auto" w:fill="auto"/>
            <w:vAlign w:val="center"/>
          </w:tcPr>
          <w:p w:rsidR="00F512F0" w:rsidRPr="00201C24" w:rsidRDefault="00091E87" w:rsidP="00D139A5">
            <w:pPr>
              <w:pStyle w:val="Gwkatablicy"/>
            </w:pPr>
            <w:r>
              <w:t>Q4</w:t>
            </w:r>
          </w:p>
        </w:tc>
        <w:tc>
          <w:tcPr>
            <w:tcW w:w="3973" w:type="dxa"/>
            <w:gridSpan w:val="2"/>
            <w:tcBorders>
              <w:top w:val="nil"/>
              <w:left w:val="single" w:sz="4" w:space="0" w:color="001D77"/>
              <w:bottom w:val="single" w:sz="4" w:space="0" w:color="001D77"/>
              <w:right w:val="nil"/>
            </w:tcBorders>
            <w:shd w:val="clear" w:color="auto" w:fill="auto"/>
            <w:vAlign w:val="center"/>
          </w:tcPr>
          <w:p w:rsidR="00F512F0" w:rsidRPr="00201C24" w:rsidRDefault="00091E87" w:rsidP="00D139A5">
            <w:pPr>
              <w:pStyle w:val="Gwkatablicy"/>
            </w:pPr>
            <w:r>
              <w:t>Q1</w:t>
            </w:r>
          </w:p>
        </w:tc>
      </w:tr>
      <w:tr w:rsidR="00091E87" w:rsidRPr="002E58AF" w:rsidTr="004961CE">
        <w:trPr>
          <w:trHeight w:val="756"/>
        </w:trPr>
        <w:tc>
          <w:tcPr>
            <w:tcW w:w="2159" w:type="dxa"/>
            <w:vMerge/>
            <w:tcBorders>
              <w:left w:val="nil"/>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center"/>
              <w:rPr>
                <w:szCs w:val="19"/>
                <w:shd w:val="clear" w:color="auto" w:fill="FFFFFF"/>
              </w:rPr>
            </w:pPr>
          </w:p>
        </w:tc>
        <w:tc>
          <w:tcPr>
            <w:tcW w:w="3746" w:type="dxa"/>
            <w:gridSpan w:val="2"/>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pStyle w:val="Gwkatablicy"/>
            </w:pPr>
            <w:r>
              <w:t>in</w:t>
            </w:r>
            <w:r w:rsidRPr="00201C24">
              <w:t xml:space="preserve"> %</w:t>
            </w:r>
          </w:p>
        </w:tc>
        <w:tc>
          <w:tcPr>
            <w:tcW w:w="2072" w:type="dxa"/>
            <w:tcBorders>
              <w:top w:val="single" w:sz="4" w:space="0" w:color="001D77"/>
              <w:left w:val="single" w:sz="4" w:space="0" w:color="001D77"/>
              <w:bottom w:val="single" w:sz="12" w:space="0" w:color="001D77"/>
              <w:right w:val="nil"/>
            </w:tcBorders>
            <w:shd w:val="clear" w:color="auto" w:fill="auto"/>
            <w:vAlign w:val="center"/>
          </w:tcPr>
          <w:p w:rsidR="00091E87" w:rsidRPr="00091E87" w:rsidRDefault="00091E87" w:rsidP="00091E87">
            <w:pPr>
              <w:pStyle w:val="Gwkatablicy"/>
              <w:rPr>
                <w:lang w:val="en-US"/>
              </w:rPr>
            </w:pPr>
            <w:r w:rsidRPr="00091E87">
              <w:rPr>
                <w:lang w:val="en-US"/>
              </w:rPr>
              <w:t xml:space="preserve">increase/decrease </w:t>
            </w:r>
            <w:r w:rsidRPr="00091E87">
              <w:rPr>
                <w:lang w:val="en-US"/>
              </w:rPr>
              <w:br/>
              <w:t>in pp compared to the previous period</w:t>
            </w:r>
          </w:p>
        </w:tc>
      </w:tr>
      <w:tr w:rsidR="00365BD5" w:rsidRPr="00955174" w:rsidTr="00201C24">
        <w:trPr>
          <w:trHeight w:hRule="exact" w:val="546"/>
        </w:trPr>
        <w:tc>
          <w:tcPr>
            <w:tcW w:w="7977" w:type="dxa"/>
            <w:gridSpan w:val="4"/>
            <w:tcBorders>
              <w:top w:val="single" w:sz="4" w:space="0" w:color="001D77"/>
              <w:bottom w:val="nil"/>
            </w:tcBorders>
            <w:shd w:val="clear" w:color="auto" w:fill="auto"/>
            <w:vAlign w:val="center"/>
          </w:tcPr>
          <w:p w:rsidR="00365BD5" w:rsidRPr="00201C24" w:rsidRDefault="00091E87" w:rsidP="00A064AE">
            <w:pPr>
              <w:spacing w:line="240" w:lineRule="exact"/>
              <w:jc w:val="center"/>
              <w:rPr>
                <w:b/>
                <w:szCs w:val="19"/>
                <w:shd w:val="clear" w:color="auto" w:fill="FFFFFF"/>
              </w:rPr>
            </w:pPr>
            <w:r w:rsidRPr="00091E87">
              <w:rPr>
                <w:b/>
                <w:szCs w:val="19"/>
                <w:shd w:val="clear" w:color="auto" w:fill="FFFFFF"/>
              </w:rPr>
              <w:t>ECONOMIC ACTIVITY RATE</w:t>
            </w:r>
          </w:p>
        </w:tc>
      </w:tr>
      <w:tr w:rsidR="00091E87" w:rsidRPr="00955174" w:rsidTr="0010041F">
        <w:tc>
          <w:tcPr>
            <w:tcW w:w="2159" w:type="dxa"/>
            <w:tcBorders>
              <w:top w:val="nil"/>
              <w:left w:val="nil"/>
              <w:bottom w:val="single" w:sz="4" w:space="0" w:color="001D77"/>
              <w:right w:val="single" w:sz="4" w:space="0" w:color="001D77"/>
            </w:tcBorders>
          </w:tcPr>
          <w:p w:rsidR="00091E87" w:rsidRPr="00201C24" w:rsidRDefault="00091E87" w:rsidP="00091E87">
            <w:pPr>
              <w:pStyle w:val="Boczektabeli"/>
            </w:pPr>
            <w:r>
              <w:t>TOTAL</w:t>
            </w:r>
            <w:r w:rsidRPr="00201C24">
              <w:tab/>
            </w:r>
          </w:p>
        </w:tc>
        <w:tc>
          <w:tcPr>
            <w:tcW w:w="1845"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b/>
                <w:szCs w:val="19"/>
                <w:shd w:val="clear" w:color="auto" w:fill="FFFFFF"/>
              </w:rPr>
              <w:t>61,7</w:t>
            </w:r>
          </w:p>
        </w:tc>
        <w:tc>
          <w:tcPr>
            <w:tcW w:w="1901"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Pr>
                <w:b/>
                <w:szCs w:val="19"/>
                <w:shd w:val="clear" w:color="auto" w:fill="FFFFFF"/>
              </w:rPr>
              <w:t>62,1</w:t>
            </w:r>
          </w:p>
        </w:tc>
        <w:tc>
          <w:tcPr>
            <w:tcW w:w="2072" w:type="dxa"/>
            <w:tcBorders>
              <w:top w:val="nil"/>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b/>
                <w:szCs w:val="19"/>
                <w:shd w:val="clear" w:color="auto" w:fill="FFFFFF"/>
              </w:rPr>
              <w:t xml:space="preserve">      </w:t>
            </w:r>
            <w:r>
              <w:rPr>
                <w:b/>
                <w:szCs w:val="19"/>
                <w:shd w:val="clear" w:color="auto" w:fill="FFFFFF"/>
              </w:rPr>
              <w:t xml:space="preserve">  0,4</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r>
              <w:t>men</w:t>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szCs w:val="19"/>
                <w:shd w:val="clear" w:color="auto" w:fill="FFFFFF"/>
              </w:rPr>
              <w:t>69,8</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szCs w:val="19"/>
                <w:shd w:val="clear" w:color="auto" w:fill="FFFFFF"/>
              </w:rPr>
              <w:t>69,4</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shd w:val="clear" w:color="auto" w:fill="FFFFFF"/>
              </w:rPr>
              <w:t xml:space="preserve">  </w:t>
            </w:r>
            <w:r>
              <w:rPr>
                <w:rFonts w:cs="Arial"/>
                <w:szCs w:val="19"/>
                <w:shd w:val="clear" w:color="auto" w:fill="FFFFFF"/>
              </w:rPr>
              <w:t xml:space="preserve">  –0,4</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proofErr w:type="spellStart"/>
            <w:r>
              <w:t>women</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54,5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55,6</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rFonts w:cs="Arial"/>
                <w:szCs w:val="19"/>
                <w:shd w:val="clear" w:color="auto" w:fill="FFFFFF"/>
              </w:rPr>
            </w:pPr>
            <w:r>
              <w:rPr>
                <w:rFonts w:cs="Arial"/>
                <w:szCs w:val="19"/>
                <w:shd w:val="clear" w:color="auto" w:fill="FFFFFF"/>
              </w:rPr>
              <w:t>1,1</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t xml:space="preserve">Urban </w:t>
            </w:r>
            <w:proofErr w:type="spellStart"/>
            <w:r>
              <w:t>areas</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62,3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62,6</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0,3</w:t>
            </w:r>
            <w:r w:rsidRPr="00201C24">
              <w:rPr>
                <w:rFonts w:cs="Arial"/>
                <w:szCs w:val="19"/>
              </w:rPr>
              <w:t xml:space="preserve"> </w:t>
            </w:r>
          </w:p>
        </w:tc>
      </w:tr>
      <w:tr w:rsidR="00091E87" w:rsidRPr="00955174" w:rsidTr="0010041F">
        <w:tc>
          <w:tcPr>
            <w:tcW w:w="2159" w:type="dxa"/>
            <w:tcBorders>
              <w:top w:val="single" w:sz="4" w:space="0" w:color="001D77"/>
              <w:left w:val="nil"/>
              <w:bottom w:val="nil"/>
              <w:right w:val="single" w:sz="4" w:space="0" w:color="001D77"/>
            </w:tcBorders>
          </w:tcPr>
          <w:p w:rsidR="00091E87" w:rsidRPr="00201C2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845"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60,6 </w:t>
            </w:r>
          </w:p>
        </w:tc>
        <w:tc>
          <w:tcPr>
            <w:tcW w:w="1901"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61,3</w:t>
            </w:r>
            <w:r w:rsidRPr="00201C24">
              <w:rPr>
                <w:rFonts w:cs="Arial"/>
                <w:szCs w:val="19"/>
              </w:rPr>
              <w:t xml:space="preserve"> </w:t>
            </w:r>
          </w:p>
        </w:tc>
        <w:tc>
          <w:tcPr>
            <w:tcW w:w="2072" w:type="dxa"/>
            <w:tcBorders>
              <w:top w:val="single" w:sz="4" w:space="0" w:color="001D77"/>
              <w:left w:val="single" w:sz="4" w:space="0" w:color="001D77"/>
              <w:bottom w:val="nil"/>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0,7</w:t>
            </w:r>
            <w:r w:rsidRPr="00201C24">
              <w:rPr>
                <w:rFonts w:cs="Arial"/>
                <w:szCs w:val="19"/>
              </w:rPr>
              <w:t xml:space="preserve">    </w:t>
            </w:r>
          </w:p>
        </w:tc>
      </w:tr>
      <w:tr w:rsidR="0010041F" w:rsidRPr="00955174" w:rsidTr="006D675F">
        <w:tc>
          <w:tcPr>
            <w:tcW w:w="7977" w:type="dxa"/>
            <w:gridSpan w:val="4"/>
            <w:tcBorders>
              <w:top w:val="nil"/>
              <w:left w:val="nil"/>
              <w:bottom w:val="nil"/>
            </w:tcBorders>
            <w:shd w:val="clear" w:color="auto" w:fill="auto"/>
            <w:vAlign w:val="center"/>
          </w:tcPr>
          <w:p w:rsidR="0010041F" w:rsidRPr="00201C24" w:rsidRDefault="00091E87" w:rsidP="0010041F">
            <w:pPr>
              <w:spacing w:line="240" w:lineRule="exact"/>
              <w:jc w:val="center"/>
              <w:rPr>
                <w:b/>
                <w:szCs w:val="19"/>
                <w:shd w:val="clear" w:color="auto" w:fill="FFFFFF"/>
              </w:rPr>
            </w:pPr>
            <w:r w:rsidRPr="00091E87">
              <w:rPr>
                <w:b/>
                <w:szCs w:val="19"/>
                <w:shd w:val="clear" w:color="auto" w:fill="FFFFFF"/>
              </w:rPr>
              <w:t>EMPLOYMENT RATE</w:t>
            </w:r>
          </w:p>
        </w:tc>
      </w:tr>
      <w:tr w:rsidR="00091E87" w:rsidRPr="00955174" w:rsidTr="0010041F">
        <w:tc>
          <w:tcPr>
            <w:tcW w:w="2159" w:type="dxa"/>
            <w:tcBorders>
              <w:top w:val="nil"/>
              <w:left w:val="nil"/>
              <w:bottom w:val="single" w:sz="4" w:space="0" w:color="001D77"/>
              <w:right w:val="single" w:sz="4" w:space="0" w:color="001D77"/>
            </w:tcBorders>
          </w:tcPr>
          <w:p w:rsidR="00091E87" w:rsidRPr="00201C24" w:rsidRDefault="00091E87" w:rsidP="00091E87">
            <w:pPr>
              <w:pStyle w:val="Boczektabeli"/>
            </w:pPr>
            <w:r>
              <w:t>TOTAL</w:t>
            </w:r>
            <w:r w:rsidRPr="00201C24">
              <w:tab/>
            </w:r>
          </w:p>
        </w:tc>
        <w:tc>
          <w:tcPr>
            <w:tcW w:w="1845"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60,3   </w:t>
            </w:r>
          </w:p>
        </w:tc>
        <w:tc>
          <w:tcPr>
            <w:tcW w:w="1901"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60,3   </w:t>
            </w:r>
          </w:p>
        </w:tc>
        <w:tc>
          <w:tcPr>
            <w:tcW w:w="2072" w:type="dxa"/>
            <w:tcBorders>
              <w:top w:val="nil"/>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b/>
                <w:szCs w:val="19"/>
                <w:shd w:val="clear" w:color="auto" w:fill="FFFFFF"/>
              </w:rPr>
            </w:pPr>
            <w:r>
              <w:rPr>
                <w:rFonts w:cs="Arial"/>
                <w:b/>
                <w:szCs w:val="19"/>
              </w:rPr>
              <w:t xml:space="preserve">       –</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r>
              <w:t>men</w:t>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67,8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66,9</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–0,9</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proofErr w:type="spellStart"/>
            <w:r>
              <w:t>women</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53,6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54,3</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0,7</w:t>
            </w:r>
            <w:r w:rsidRPr="00201C24">
              <w:rPr>
                <w:rFonts w:cs="Arial"/>
                <w:szCs w:val="19"/>
              </w:rPr>
              <w:t xml:space="preserve">  </w:t>
            </w:r>
          </w:p>
        </w:tc>
      </w:tr>
      <w:tr w:rsidR="00091E87" w:rsidRPr="0095517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t xml:space="preserve">Urban </w:t>
            </w:r>
            <w:proofErr w:type="spellStart"/>
            <w:r>
              <w:t>areas</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60,9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60,6</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–0,3</w:t>
            </w:r>
            <w:r w:rsidRPr="00201C24">
              <w:rPr>
                <w:rFonts w:cs="Arial"/>
                <w:szCs w:val="19"/>
              </w:rPr>
              <w:t xml:space="preserve"> </w:t>
            </w:r>
          </w:p>
        </w:tc>
      </w:tr>
      <w:tr w:rsidR="00091E87" w:rsidRPr="00955174" w:rsidTr="0010041F">
        <w:tc>
          <w:tcPr>
            <w:tcW w:w="2159" w:type="dxa"/>
            <w:tcBorders>
              <w:top w:val="single" w:sz="4" w:space="0" w:color="001D77"/>
              <w:left w:val="nil"/>
              <w:bottom w:val="nil"/>
              <w:right w:val="single" w:sz="4" w:space="0" w:color="001D77"/>
            </w:tcBorders>
          </w:tcPr>
          <w:p w:rsidR="00091E87" w:rsidRPr="00201C2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845"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59,2    </w:t>
            </w:r>
          </w:p>
        </w:tc>
        <w:tc>
          <w:tcPr>
            <w:tcW w:w="1901"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 xml:space="preserve">      59,7</w:t>
            </w:r>
            <w:r w:rsidRPr="00201C24">
              <w:rPr>
                <w:rFonts w:cs="Arial"/>
                <w:szCs w:val="19"/>
              </w:rPr>
              <w:t xml:space="preserve">   </w:t>
            </w:r>
          </w:p>
        </w:tc>
        <w:tc>
          <w:tcPr>
            <w:tcW w:w="2072" w:type="dxa"/>
            <w:tcBorders>
              <w:top w:val="single" w:sz="4" w:space="0" w:color="001D77"/>
              <w:left w:val="single" w:sz="4" w:space="0" w:color="001D77"/>
              <w:bottom w:val="nil"/>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 xml:space="preserve">          0,5</w:t>
            </w:r>
          </w:p>
        </w:tc>
      </w:tr>
      <w:tr w:rsidR="0010041F" w:rsidRPr="00201C24" w:rsidTr="006D675F">
        <w:tc>
          <w:tcPr>
            <w:tcW w:w="7977" w:type="dxa"/>
            <w:gridSpan w:val="4"/>
            <w:tcBorders>
              <w:top w:val="nil"/>
              <w:left w:val="nil"/>
              <w:bottom w:val="nil"/>
            </w:tcBorders>
            <w:shd w:val="clear" w:color="auto" w:fill="auto"/>
            <w:vAlign w:val="center"/>
          </w:tcPr>
          <w:p w:rsidR="0010041F" w:rsidRPr="00201C24" w:rsidRDefault="00091E87" w:rsidP="0010041F">
            <w:pPr>
              <w:spacing w:line="240" w:lineRule="exact"/>
              <w:jc w:val="center"/>
              <w:rPr>
                <w:b/>
                <w:szCs w:val="19"/>
                <w:shd w:val="clear" w:color="auto" w:fill="FFFFFF"/>
              </w:rPr>
            </w:pPr>
            <w:r w:rsidRPr="00091E87">
              <w:rPr>
                <w:b/>
                <w:szCs w:val="19"/>
                <w:shd w:val="clear" w:color="auto" w:fill="FFFFFF"/>
              </w:rPr>
              <w:t>UNEMPLOYMENT RATE</w:t>
            </w:r>
          </w:p>
        </w:tc>
      </w:tr>
      <w:tr w:rsidR="00091E87" w:rsidRPr="00201C24" w:rsidTr="0010041F">
        <w:tc>
          <w:tcPr>
            <w:tcW w:w="2159" w:type="dxa"/>
            <w:tcBorders>
              <w:top w:val="nil"/>
              <w:left w:val="nil"/>
              <w:bottom w:val="single" w:sz="4" w:space="0" w:color="001D77"/>
              <w:right w:val="single" w:sz="4" w:space="0" w:color="001D77"/>
            </w:tcBorders>
          </w:tcPr>
          <w:p w:rsidR="00091E87" w:rsidRPr="00201C24" w:rsidRDefault="00091E87" w:rsidP="00091E87">
            <w:pPr>
              <w:pStyle w:val="Boczektabeli"/>
            </w:pPr>
            <w:r>
              <w:t>TOTAL</w:t>
            </w:r>
            <w:r w:rsidRPr="00201C24">
              <w:tab/>
            </w:r>
          </w:p>
        </w:tc>
        <w:tc>
          <w:tcPr>
            <w:tcW w:w="1845"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2,3</w:t>
            </w:r>
          </w:p>
        </w:tc>
        <w:tc>
          <w:tcPr>
            <w:tcW w:w="1901"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Pr>
                <w:rFonts w:cs="Arial"/>
                <w:b/>
                <w:szCs w:val="19"/>
              </w:rPr>
              <w:t xml:space="preserve">               3,0</w:t>
            </w:r>
          </w:p>
        </w:tc>
        <w:tc>
          <w:tcPr>
            <w:tcW w:w="2072" w:type="dxa"/>
            <w:tcBorders>
              <w:top w:val="nil"/>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b/>
                <w:szCs w:val="19"/>
                <w:shd w:val="clear" w:color="auto" w:fill="FFFFFF"/>
              </w:rPr>
            </w:pPr>
            <w:r>
              <w:rPr>
                <w:rFonts w:cs="Arial"/>
                <w:b/>
                <w:szCs w:val="19"/>
              </w:rPr>
              <w:t xml:space="preserve">           0,7</w:t>
            </w:r>
          </w:p>
        </w:tc>
      </w:tr>
      <w:tr w:rsidR="00091E87" w:rsidRPr="00201C2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r>
              <w:t>men</w:t>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2,8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3,4</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0,6</w:t>
            </w:r>
          </w:p>
        </w:tc>
      </w:tr>
      <w:tr w:rsidR="00091E87" w:rsidRPr="00201C2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proofErr w:type="spellStart"/>
            <w:r>
              <w:t>women</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1,7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2,5</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0,8</w:t>
            </w:r>
          </w:p>
        </w:tc>
      </w:tr>
      <w:tr w:rsidR="00091E87" w:rsidRPr="00201C24" w:rsidTr="0010041F">
        <w:tc>
          <w:tcPr>
            <w:tcW w:w="215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t xml:space="preserve">Urban </w:t>
            </w:r>
            <w:proofErr w:type="spellStart"/>
            <w:r>
              <w:t>areas</w:t>
            </w:r>
            <w:proofErr w:type="spellEnd"/>
            <w:r w:rsidRPr="00201C24">
              <w:tab/>
            </w:r>
          </w:p>
        </w:tc>
        <w:tc>
          <w:tcPr>
            <w:tcW w:w="184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2,2  </w:t>
            </w:r>
          </w:p>
        </w:tc>
        <w:tc>
          <w:tcPr>
            <w:tcW w:w="1901"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3,2</w:t>
            </w:r>
            <w:r w:rsidRPr="00201C24">
              <w:rPr>
                <w:rFonts w:cs="Arial"/>
                <w:szCs w:val="19"/>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1,0</w:t>
            </w:r>
          </w:p>
        </w:tc>
      </w:tr>
      <w:tr w:rsidR="00091E87" w:rsidRPr="00201C24" w:rsidTr="0010041F">
        <w:tc>
          <w:tcPr>
            <w:tcW w:w="2159" w:type="dxa"/>
            <w:tcBorders>
              <w:top w:val="single" w:sz="4" w:space="0" w:color="001D77"/>
              <w:left w:val="nil"/>
              <w:bottom w:val="nil"/>
              <w:right w:val="single" w:sz="4" w:space="0" w:color="001D77"/>
            </w:tcBorders>
          </w:tcPr>
          <w:p w:rsidR="00091E87" w:rsidRPr="00201C2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845"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2,4</w:t>
            </w:r>
          </w:p>
        </w:tc>
        <w:tc>
          <w:tcPr>
            <w:tcW w:w="1901"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2,5</w:t>
            </w:r>
          </w:p>
        </w:tc>
        <w:tc>
          <w:tcPr>
            <w:tcW w:w="2072" w:type="dxa"/>
            <w:tcBorders>
              <w:top w:val="single" w:sz="4" w:space="0" w:color="001D77"/>
              <w:left w:val="single" w:sz="4" w:space="0" w:color="001D77"/>
              <w:bottom w:val="nil"/>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0,1</w:t>
            </w:r>
          </w:p>
        </w:tc>
      </w:tr>
    </w:tbl>
    <w:p w:rsidR="00654A3B" w:rsidRPr="00201C24" w:rsidRDefault="00654A3B" w:rsidP="00365BD5">
      <w:pPr>
        <w:spacing w:before="0" w:after="0" w:line="180" w:lineRule="exact"/>
        <w:outlineLvl w:val="0"/>
        <w:rPr>
          <w:rFonts w:cs="Arial"/>
          <w:szCs w:val="19"/>
        </w:rPr>
      </w:pPr>
    </w:p>
    <w:p w:rsidR="007A1F68" w:rsidRDefault="007A1F68" w:rsidP="00D139A5">
      <w:pPr>
        <w:pStyle w:val="tytutablicy"/>
      </w:pPr>
    </w:p>
    <w:p w:rsidR="007A1F68" w:rsidRDefault="007A1F68" w:rsidP="00D139A5">
      <w:pPr>
        <w:pStyle w:val="tytutablicy"/>
      </w:pPr>
    </w:p>
    <w:p w:rsidR="007A1F68" w:rsidRDefault="007A1F68" w:rsidP="00D139A5">
      <w:pPr>
        <w:pStyle w:val="tytutablicy"/>
      </w:pPr>
    </w:p>
    <w:p w:rsidR="007A1F68" w:rsidRDefault="007A1F68" w:rsidP="00D139A5">
      <w:pPr>
        <w:pStyle w:val="tytutablicy"/>
      </w:pPr>
    </w:p>
    <w:p w:rsidR="007A1F68" w:rsidRDefault="007A1F68" w:rsidP="00D139A5">
      <w:pPr>
        <w:pStyle w:val="tytutablicy"/>
      </w:pPr>
    </w:p>
    <w:p w:rsidR="007A1F68" w:rsidRPr="00091E87" w:rsidRDefault="007A1F68" w:rsidP="00D139A5">
      <w:pPr>
        <w:pStyle w:val="tytutablicy"/>
        <w:rPr>
          <w:lang w:val="en-US"/>
        </w:rPr>
      </w:pPr>
    </w:p>
    <w:p w:rsidR="00CF16A6" w:rsidRPr="00091E87" w:rsidRDefault="008308D7" w:rsidP="00D139A5">
      <w:pPr>
        <w:pStyle w:val="tytutablicy"/>
        <w:rPr>
          <w:lang w:val="en-US"/>
        </w:rPr>
      </w:pPr>
      <w:r w:rsidRPr="00091E87">
        <w:rPr>
          <w:lang w:val="en-US"/>
        </w:rPr>
        <w:lastRenderedPageBreak/>
        <w:t>Tab</w:t>
      </w:r>
      <w:r w:rsidR="00091E87" w:rsidRPr="00091E87">
        <w:rPr>
          <w:lang w:val="en-US"/>
        </w:rPr>
        <w:t>le</w:t>
      </w:r>
      <w:r w:rsidRPr="00091E87">
        <w:rPr>
          <w:lang w:val="en-US"/>
        </w:rPr>
        <w:t xml:space="preserve"> 2</w:t>
      </w:r>
      <w:r w:rsidR="00482BCB" w:rsidRPr="00091E87">
        <w:rPr>
          <w:lang w:val="en-US"/>
        </w:rPr>
        <w:t xml:space="preserve">. </w:t>
      </w:r>
      <w:r w:rsidR="00091E87" w:rsidRPr="00091E87">
        <w:rPr>
          <w:lang w:val="en-US"/>
        </w:rPr>
        <w:t xml:space="preserve">Economic activity of population aged 15-89 by </w:t>
      </w:r>
      <w:proofErr w:type="spellStart"/>
      <w:r w:rsidR="00091E87" w:rsidRPr="00091E87">
        <w:rPr>
          <w:lang w:val="en-US"/>
        </w:rPr>
        <w:t>labour</w:t>
      </w:r>
      <w:proofErr w:type="spellEnd"/>
      <w:r w:rsidR="00091E87" w:rsidRPr="00091E87">
        <w:rPr>
          <w:lang w:val="en-US"/>
        </w:rPr>
        <w:t xml:space="preserve"> market status</w:t>
      </w:r>
      <w:r w:rsidR="00091E87" w:rsidRPr="00091E87" w:rsidDel="00091E87">
        <w:rPr>
          <w:lang w:val="en-US"/>
        </w:rPr>
        <w:t xml:space="preserve"> </w:t>
      </w:r>
    </w:p>
    <w:p w:rsidR="00F512F0" w:rsidRPr="00091E87" w:rsidRDefault="00F512F0" w:rsidP="00365BD5">
      <w:pPr>
        <w:spacing w:before="0" w:after="0" w:line="180" w:lineRule="exact"/>
        <w:outlineLvl w:val="0"/>
        <w:rPr>
          <w:rFonts w:cs="Arial"/>
          <w:b/>
          <w:szCs w:val="19"/>
          <w:lang w:val="en-US"/>
        </w:rPr>
      </w:pPr>
    </w:p>
    <w:p w:rsidR="00365BD5" w:rsidRPr="00091E87" w:rsidRDefault="00365BD5" w:rsidP="00D242DB">
      <w:pPr>
        <w:spacing w:before="0" w:after="0" w:line="60" w:lineRule="exact"/>
        <w:outlineLvl w:val="0"/>
        <w:rPr>
          <w:rFonts w:cs="Arial"/>
          <w:b/>
          <w:szCs w:val="19"/>
          <w:lang w:val="en-US"/>
        </w:rPr>
      </w:pPr>
    </w:p>
    <w:tbl>
      <w:tblPr>
        <w:tblW w:w="4941" w:type="pct"/>
        <w:tblInd w:w="108" w:type="dxa"/>
        <w:tblBorders>
          <w:top w:val="single" w:sz="4" w:space="0" w:color="008000"/>
          <w:bottom w:val="single" w:sz="4" w:space="0" w:color="008000"/>
          <w:insideH w:val="single" w:sz="4" w:space="0" w:color="008000"/>
          <w:insideV w:val="single" w:sz="4" w:space="0" w:color="008000"/>
        </w:tblBorders>
        <w:tblLook w:val="01E0" w:firstRow="1" w:lastRow="1" w:firstColumn="1" w:lastColumn="1" w:noHBand="0" w:noVBand="0"/>
        <w:tblCaption w:val="Tablica 2"/>
        <w:tblDescription w:val="Aktywność ekonomiczna ludności w wieku 15–89 lat według statusu na rynku pracy&#10;&#10;"/>
      </w:tblPr>
      <w:tblGrid>
        <w:gridCol w:w="2019"/>
        <w:gridCol w:w="1967"/>
        <w:gridCol w:w="1925"/>
        <w:gridCol w:w="2061"/>
      </w:tblGrid>
      <w:tr w:rsidR="0010041F" w:rsidRPr="00201C24" w:rsidTr="0010041F">
        <w:trPr>
          <w:trHeight w:val="420"/>
        </w:trPr>
        <w:tc>
          <w:tcPr>
            <w:tcW w:w="2019" w:type="dxa"/>
            <w:vMerge w:val="restart"/>
            <w:tcBorders>
              <w:top w:val="nil"/>
              <w:left w:val="nil"/>
              <w:right w:val="single" w:sz="4" w:space="0" w:color="001D77"/>
            </w:tcBorders>
            <w:shd w:val="clear" w:color="auto" w:fill="auto"/>
            <w:vAlign w:val="center"/>
          </w:tcPr>
          <w:p w:rsidR="0010041F" w:rsidRPr="00201C24" w:rsidRDefault="0010041F" w:rsidP="00D95F72">
            <w:pPr>
              <w:pStyle w:val="Gwkatablicy"/>
            </w:pPr>
            <w:proofErr w:type="spellStart"/>
            <w:r w:rsidRPr="00201C24">
              <w:t>Wyszczególnienie</w:t>
            </w:r>
            <w:r w:rsidR="00091E87">
              <w:t>Specification</w:t>
            </w:r>
            <w:proofErr w:type="spellEnd"/>
          </w:p>
        </w:tc>
        <w:tc>
          <w:tcPr>
            <w:tcW w:w="1967" w:type="dxa"/>
            <w:tcBorders>
              <w:top w:val="nil"/>
              <w:left w:val="single" w:sz="4" w:space="0" w:color="001D77"/>
              <w:bottom w:val="single" w:sz="4" w:space="0" w:color="001D77"/>
              <w:right w:val="nil"/>
            </w:tcBorders>
            <w:shd w:val="clear" w:color="auto" w:fill="auto"/>
            <w:vAlign w:val="center"/>
          </w:tcPr>
          <w:p w:rsidR="0010041F" w:rsidRPr="00201C24" w:rsidRDefault="0010041F" w:rsidP="00D95F72">
            <w:pPr>
              <w:pStyle w:val="Gwkatablicy"/>
            </w:pPr>
            <w:r w:rsidRPr="00201C24">
              <w:t>2021</w:t>
            </w:r>
          </w:p>
        </w:tc>
        <w:tc>
          <w:tcPr>
            <w:tcW w:w="3986" w:type="dxa"/>
            <w:gridSpan w:val="2"/>
            <w:tcBorders>
              <w:top w:val="nil"/>
              <w:left w:val="single" w:sz="4" w:space="0" w:color="001D77"/>
              <w:bottom w:val="single" w:sz="4" w:space="0" w:color="001D77"/>
              <w:right w:val="nil"/>
            </w:tcBorders>
            <w:shd w:val="clear" w:color="auto" w:fill="auto"/>
            <w:vAlign w:val="center"/>
          </w:tcPr>
          <w:p w:rsidR="0010041F" w:rsidRPr="00201C24" w:rsidRDefault="0010041F" w:rsidP="00D95F72">
            <w:pPr>
              <w:pStyle w:val="Gwkatablicy"/>
            </w:pPr>
            <w:r>
              <w:t>2022</w:t>
            </w:r>
          </w:p>
        </w:tc>
      </w:tr>
      <w:tr w:rsidR="00F512F0" w:rsidRPr="00201C24" w:rsidTr="005C4791">
        <w:trPr>
          <w:trHeight w:val="420"/>
        </w:trPr>
        <w:tc>
          <w:tcPr>
            <w:tcW w:w="2019" w:type="dxa"/>
            <w:vMerge/>
            <w:tcBorders>
              <w:left w:val="nil"/>
              <w:right w:val="single" w:sz="4" w:space="0" w:color="001D77"/>
            </w:tcBorders>
            <w:shd w:val="clear" w:color="auto" w:fill="auto"/>
            <w:vAlign w:val="center"/>
          </w:tcPr>
          <w:p w:rsidR="00F512F0" w:rsidRPr="00201C24" w:rsidRDefault="00F512F0" w:rsidP="0010342B">
            <w:pPr>
              <w:spacing w:line="240" w:lineRule="exact"/>
              <w:jc w:val="center"/>
              <w:rPr>
                <w:szCs w:val="19"/>
                <w:shd w:val="clear" w:color="auto" w:fill="FFFFFF"/>
              </w:rPr>
            </w:pPr>
          </w:p>
        </w:tc>
        <w:tc>
          <w:tcPr>
            <w:tcW w:w="1967" w:type="dxa"/>
            <w:tcBorders>
              <w:top w:val="nil"/>
              <w:left w:val="single" w:sz="4" w:space="0" w:color="001D77"/>
              <w:bottom w:val="single" w:sz="4" w:space="0" w:color="001D77"/>
              <w:right w:val="single" w:sz="4" w:space="0" w:color="001D77"/>
            </w:tcBorders>
            <w:shd w:val="clear" w:color="auto" w:fill="auto"/>
            <w:vAlign w:val="center"/>
          </w:tcPr>
          <w:p w:rsidR="00F512F0" w:rsidRPr="00201C24" w:rsidRDefault="00091E87" w:rsidP="00D95F72">
            <w:pPr>
              <w:pStyle w:val="Gwkatablicy"/>
            </w:pPr>
            <w:r>
              <w:t>Q4</w:t>
            </w:r>
          </w:p>
        </w:tc>
        <w:tc>
          <w:tcPr>
            <w:tcW w:w="3986" w:type="dxa"/>
            <w:gridSpan w:val="2"/>
            <w:tcBorders>
              <w:top w:val="nil"/>
              <w:left w:val="single" w:sz="4" w:space="0" w:color="001D77"/>
              <w:bottom w:val="single" w:sz="4" w:space="0" w:color="001D77"/>
              <w:right w:val="nil"/>
            </w:tcBorders>
            <w:shd w:val="clear" w:color="auto" w:fill="auto"/>
            <w:vAlign w:val="center"/>
          </w:tcPr>
          <w:p w:rsidR="00F512F0" w:rsidRPr="00201C24" w:rsidRDefault="00091E87" w:rsidP="00D95F72">
            <w:pPr>
              <w:pStyle w:val="Gwkatablicy"/>
            </w:pPr>
            <w:r>
              <w:t>Q1</w:t>
            </w:r>
          </w:p>
        </w:tc>
      </w:tr>
      <w:tr w:rsidR="00F512F0" w:rsidRPr="00201C24" w:rsidTr="005C4791">
        <w:trPr>
          <w:trHeight w:val="310"/>
        </w:trPr>
        <w:tc>
          <w:tcPr>
            <w:tcW w:w="2019" w:type="dxa"/>
            <w:vMerge/>
            <w:tcBorders>
              <w:left w:val="nil"/>
              <w:bottom w:val="single" w:sz="4" w:space="0" w:color="001D77"/>
              <w:right w:val="single" w:sz="4" w:space="0" w:color="001D77"/>
            </w:tcBorders>
            <w:shd w:val="clear" w:color="auto" w:fill="auto"/>
            <w:vAlign w:val="center"/>
          </w:tcPr>
          <w:p w:rsidR="00F512F0" w:rsidRPr="00201C24" w:rsidRDefault="00F512F0" w:rsidP="0010342B">
            <w:pPr>
              <w:spacing w:line="240" w:lineRule="exact"/>
              <w:jc w:val="center"/>
              <w:rPr>
                <w:b/>
                <w:szCs w:val="19"/>
                <w:shd w:val="clear" w:color="auto" w:fill="FFFFFF"/>
              </w:rPr>
            </w:pPr>
          </w:p>
        </w:tc>
        <w:tc>
          <w:tcPr>
            <w:tcW w:w="3892" w:type="dxa"/>
            <w:gridSpan w:val="2"/>
            <w:tcBorders>
              <w:top w:val="single" w:sz="4" w:space="0" w:color="001D77"/>
              <w:left w:val="single" w:sz="4" w:space="0" w:color="001D77"/>
              <w:bottom w:val="single" w:sz="4" w:space="0" w:color="001D77"/>
              <w:right w:val="single" w:sz="4" w:space="0" w:color="001D77"/>
            </w:tcBorders>
            <w:shd w:val="clear" w:color="auto" w:fill="auto"/>
            <w:vAlign w:val="center"/>
          </w:tcPr>
          <w:p w:rsidR="00F512F0" w:rsidRPr="00201C24" w:rsidRDefault="00091E87" w:rsidP="00D95F72">
            <w:pPr>
              <w:pStyle w:val="Gwkatablicy"/>
            </w:pPr>
            <w:r>
              <w:t xml:space="preserve">in </w:t>
            </w:r>
            <w:proofErr w:type="spellStart"/>
            <w:r>
              <w:t>thousands</w:t>
            </w:r>
            <w:proofErr w:type="spellEnd"/>
          </w:p>
        </w:tc>
        <w:tc>
          <w:tcPr>
            <w:tcW w:w="2061" w:type="dxa"/>
            <w:tcBorders>
              <w:top w:val="single" w:sz="4" w:space="0" w:color="001D77"/>
              <w:left w:val="single" w:sz="4" w:space="0" w:color="001D77"/>
              <w:bottom w:val="single" w:sz="4" w:space="0" w:color="001D77"/>
              <w:right w:val="nil"/>
            </w:tcBorders>
            <w:shd w:val="clear" w:color="auto" w:fill="auto"/>
            <w:vAlign w:val="center"/>
          </w:tcPr>
          <w:p w:rsidR="00F512F0" w:rsidRPr="00201C24" w:rsidRDefault="00091E87" w:rsidP="00091E87">
            <w:pPr>
              <w:pStyle w:val="Gwkatablicy"/>
            </w:pPr>
            <w:r>
              <w:t xml:space="preserve">Q4 </w:t>
            </w:r>
            <w:r w:rsidR="00CC59B3" w:rsidRPr="00201C24">
              <w:t>2021</w:t>
            </w:r>
            <w:r w:rsidR="00F512F0" w:rsidRPr="00201C24">
              <w:t>=100</w:t>
            </w:r>
          </w:p>
        </w:tc>
      </w:tr>
      <w:tr w:rsidR="00F512F0" w:rsidRPr="00201C24" w:rsidTr="003954D7">
        <w:trPr>
          <w:trHeight w:hRule="exact" w:val="459"/>
        </w:trPr>
        <w:tc>
          <w:tcPr>
            <w:tcW w:w="7972" w:type="dxa"/>
            <w:gridSpan w:val="4"/>
            <w:tcBorders>
              <w:top w:val="single" w:sz="4" w:space="0" w:color="001D77"/>
              <w:left w:val="nil"/>
              <w:bottom w:val="nil"/>
              <w:right w:val="nil"/>
            </w:tcBorders>
            <w:shd w:val="clear" w:color="auto" w:fill="auto"/>
            <w:vAlign w:val="center"/>
          </w:tcPr>
          <w:p w:rsidR="00091E87" w:rsidRPr="00091E87" w:rsidRDefault="00091E87" w:rsidP="00091E87">
            <w:pPr>
              <w:spacing w:line="240" w:lineRule="exact"/>
              <w:jc w:val="center"/>
              <w:rPr>
                <w:b/>
                <w:szCs w:val="19"/>
                <w:shd w:val="clear" w:color="auto" w:fill="FFFFFF"/>
              </w:rPr>
            </w:pPr>
            <w:r w:rsidRPr="00091E87">
              <w:rPr>
                <w:b/>
                <w:szCs w:val="19"/>
                <w:shd w:val="clear" w:color="auto" w:fill="FFFFFF"/>
              </w:rPr>
              <w:t>EMPLOYED PERSONS</w:t>
            </w:r>
          </w:p>
          <w:p w:rsidR="00F512F0" w:rsidRPr="00201C24" w:rsidRDefault="00F512F0" w:rsidP="00A064AE">
            <w:pPr>
              <w:spacing w:line="240" w:lineRule="exact"/>
              <w:rPr>
                <w:b/>
                <w:szCs w:val="19"/>
                <w:shd w:val="clear" w:color="auto" w:fill="FFFFFF"/>
              </w:rPr>
            </w:pPr>
          </w:p>
          <w:p w:rsidR="00F512F0" w:rsidRPr="00201C24" w:rsidRDefault="00F512F0" w:rsidP="00A064AE">
            <w:pPr>
              <w:spacing w:line="240" w:lineRule="exact"/>
              <w:rPr>
                <w:b/>
                <w:szCs w:val="19"/>
                <w:shd w:val="clear" w:color="auto" w:fill="FFFFFF"/>
              </w:rPr>
            </w:pPr>
          </w:p>
        </w:tc>
      </w:tr>
      <w:tr w:rsidR="00091E87" w:rsidRPr="00201C24" w:rsidTr="005C4791">
        <w:tc>
          <w:tcPr>
            <w:tcW w:w="2019" w:type="dxa"/>
            <w:tcBorders>
              <w:top w:val="nil"/>
              <w:left w:val="nil"/>
              <w:bottom w:val="single" w:sz="4" w:space="0" w:color="001D77"/>
              <w:right w:val="single" w:sz="4" w:space="0" w:color="001D77"/>
            </w:tcBorders>
          </w:tcPr>
          <w:p w:rsidR="00091E87" w:rsidRPr="00201C24" w:rsidRDefault="00091E87" w:rsidP="00091E87">
            <w:pPr>
              <w:pStyle w:val="Boczektabeli"/>
            </w:pPr>
            <w:r>
              <w:t>TOTAL</w:t>
            </w:r>
            <w:r w:rsidRPr="00201C24">
              <w:tab/>
            </w:r>
          </w:p>
        </w:tc>
        <w:tc>
          <w:tcPr>
            <w:tcW w:w="1967"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2 595</w:t>
            </w:r>
          </w:p>
        </w:tc>
        <w:tc>
          <w:tcPr>
            <w:tcW w:w="1925"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2 </w:t>
            </w:r>
            <w:r>
              <w:rPr>
                <w:rFonts w:cs="Arial"/>
                <w:b/>
                <w:szCs w:val="19"/>
              </w:rPr>
              <w:t>593</w:t>
            </w:r>
          </w:p>
        </w:tc>
        <w:tc>
          <w:tcPr>
            <w:tcW w:w="2061" w:type="dxa"/>
            <w:tcBorders>
              <w:top w:val="nil"/>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b/>
                <w:strike/>
                <w:szCs w:val="19"/>
                <w:shd w:val="clear" w:color="auto" w:fill="FFFFFF"/>
              </w:rPr>
            </w:pPr>
            <w:r w:rsidRPr="00201C24">
              <w:rPr>
                <w:rFonts w:cs="Arial"/>
                <w:b/>
                <w:szCs w:val="19"/>
              </w:rPr>
              <w:t xml:space="preserve">         </w:t>
            </w:r>
            <w:r>
              <w:rPr>
                <w:b/>
                <w:szCs w:val="19"/>
                <w:shd w:val="clear" w:color="auto" w:fill="FFFFFF"/>
              </w:rPr>
              <w:t>99,9</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r>
              <w:t>men</w:t>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1 381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1 3</w:t>
            </w:r>
            <w:r>
              <w:rPr>
                <w:rFonts w:cs="Arial"/>
                <w:szCs w:val="19"/>
              </w:rPr>
              <w:t>63</w:t>
            </w:r>
            <w:r w:rsidRPr="00201C2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trike/>
                <w:szCs w:val="19"/>
                <w:shd w:val="clear" w:color="auto" w:fill="FFFFFF"/>
              </w:rPr>
            </w:pPr>
            <w:r>
              <w:rPr>
                <w:rFonts w:cs="Arial"/>
                <w:szCs w:val="19"/>
              </w:rPr>
              <w:t xml:space="preserve">         98,7</w:t>
            </w:r>
            <w:r w:rsidRPr="00201C24">
              <w:rPr>
                <w:rFonts w:cs="Arial"/>
                <w:strike/>
                <w:szCs w:val="19"/>
              </w:rPr>
              <w:t xml:space="preserve"> </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proofErr w:type="spellStart"/>
            <w:r>
              <w:t>women</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1 214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1 230</w:t>
            </w:r>
            <w:r w:rsidRPr="00201C2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trike/>
                <w:szCs w:val="19"/>
                <w:shd w:val="clear" w:color="auto" w:fill="FFFFFF"/>
              </w:rPr>
            </w:pPr>
            <w:r>
              <w:rPr>
                <w:rFonts w:cs="Arial"/>
                <w:szCs w:val="19"/>
              </w:rPr>
              <w:t xml:space="preserve">        101,3</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t xml:space="preserve">Urban </w:t>
            </w:r>
            <w:proofErr w:type="spellStart"/>
            <w:r>
              <w:t>areas</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1 678</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1 6</w:t>
            </w:r>
            <w:r>
              <w:rPr>
                <w:rFonts w:cs="Arial"/>
                <w:szCs w:val="19"/>
              </w:rPr>
              <w:t>69</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trike/>
                <w:szCs w:val="19"/>
                <w:shd w:val="clear" w:color="auto" w:fill="FFFFFF"/>
              </w:rPr>
            </w:pPr>
            <w:r w:rsidRPr="00201C24">
              <w:rPr>
                <w:rFonts w:cs="Arial"/>
                <w:szCs w:val="19"/>
              </w:rPr>
              <w:t xml:space="preserve">          </w:t>
            </w:r>
            <w:r>
              <w:rPr>
                <w:szCs w:val="19"/>
                <w:shd w:val="clear" w:color="auto" w:fill="FFFFFF"/>
              </w:rPr>
              <w:t>99,5</w:t>
            </w:r>
          </w:p>
        </w:tc>
      </w:tr>
      <w:tr w:rsidR="00091E87" w:rsidRPr="00201C24" w:rsidTr="005C4791">
        <w:tc>
          <w:tcPr>
            <w:tcW w:w="2019" w:type="dxa"/>
            <w:tcBorders>
              <w:top w:val="single" w:sz="4" w:space="0" w:color="001D77"/>
              <w:left w:val="nil"/>
              <w:bottom w:val="nil"/>
              <w:right w:val="single" w:sz="4" w:space="0" w:color="001D77"/>
            </w:tcBorders>
          </w:tcPr>
          <w:p w:rsidR="00091E87" w:rsidRPr="00201C2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967"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917   </w:t>
            </w:r>
          </w:p>
        </w:tc>
        <w:tc>
          <w:tcPr>
            <w:tcW w:w="1925"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924</w:t>
            </w:r>
            <w:r w:rsidRPr="00201C24">
              <w:rPr>
                <w:rFonts w:cs="Arial"/>
                <w:szCs w:val="19"/>
              </w:rPr>
              <w:t xml:space="preserve">  </w:t>
            </w:r>
          </w:p>
        </w:tc>
        <w:tc>
          <w:tcPr>
            <w:tcW w:w="2061" w:type="dxa"/>
            <w:tcBorders>
              <w:top w:val="single" w:sz="4" w:space="0" w:color="001D77"/>
              <w:left w:val="single" w:sz="4" w:space="0" w:color="001D77"/>
              <w:bottom w:val="nil"/>
              <w:right w:val="nil"/>
            </w:tcBorders>
            <w:shd w:val="clear" w:color="auto" w:fill="auto"/>
            <w:vAlign w:val="center"/>
          </w:tcPr>
          <w:p w:rsidR="00091E87" w:rsidRPr="00201C24" w:rsidRDefault="00091E87" w:rsidP="00091E87">
            <w:pPr>
              <w:spacing w:line="240" w:lineRule="exact"/>
              <w:jc w:val="right"/>
              <w:rPr>
                <w:strike/>
                <w:szCs w:val="19"/>
                <w:shd w:val="clear" w:color="auto" w:fill="FFFFFF"/>
              </w:rPr>
            </w:pPr>
            <w:r>
              <w:rPr>
                <w:rFonts w:cs="Arial"/>
                <w:szCs w:val="19"/>
              </w:rPr>
              <w:t xml:space="preserve">       100,8</w:t>
            </w:r>
          </w:p>
        </w:tc>
      </w:tr>
      <w:tr w:rsidR="0010041F" w:rsidRPr="00201C24" w:rsidTr="00F512F0">
        <w:tc>
          <w:tcPr>
            <w:tcW w:w="7972" w:type="dxa"/>
            <w:gridSpan w:val="4"/>
            <w:tcBorders>
              <w:top w:val="nil"/>
              <w:left w:val="nil"/>
              <w:bottom w:val="nil"/>
              <w:right w:val="nil"/>
            </w:tcBorders>
            <w:shd w:val="clear" w:color="auto" w:fill="auto"/>
            <w:vAlign w:val="center"/>
          </w:tcPr>
          <w:p w:rsidR="0010041F" w:rsidRPr="00201C24" w:rsidRDefault="00091E87" w:rsidP="0010041F">
            <w:pPr>
              <w:spacing w:line="240" w:lineRule="exact"/>
              <w:jc w:val="center"/>
              <w:rPr>
                <w:b/>
                <w:szCs w:val="19"/>
                <w:shd w:val="clear" w:color="auto" w:fill="FFFFFF"/>
              </w:rPr>
            </w:pPr>
            <w:r>
              <w:rPr>
                <w:b/>
                <w:szCs w:val="19"/>
                <w:shd w:val="clear" w:color="auto" w:fill="FFFFFF"/>
              </w:rPr>
              <w:t>UNEMPLOYED PERSONS</w:t>
            </w:r>
          </w:p>
        </w:tc>
      </w:tr>
      <w:tr w:rsidR="00091E87" w:rsidRPr="00201C24" w:rsidTr="005C4791">
        <w:tc>
          <w:tcPr>
            <w:tcW w:w="2019" w:type="dxa"/>
            <w:tcBorders>
              <w:top w:val="nil"/>
              <w:left w:val="nil"/>
              <w:bottom w:val="single" w:sz="4" w:space="0" w:color="001D77"/>
              <w:right w:val="single" w:sz="4" w:space="0" w:color="001D77"/>
            </w:tcBorders>
          </w:tcPr>
          <w:p w:rsidR="00091E87" w:rsidRPr="00201C24" w:rsidRDefault="00091E87" w:rsidP="00091E87">
            <w:pPr>
              <w:pStyle w:val="Boczektabeli"/>
            </w:pPr>
            <w:r>
              <w:t>TOTAL</w:t>
            </w:r>
            <w:r w:rsidRPr="00201C24">
              <w:tab/>
            </w:r>
          </w:p>
        </w:tc>
        <w:tc>
          <w:tcPr>
            <w:tcW w:w="1967"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61  </w:t>
            </w:r>
          </w:p>
        </w:tc>
        <w:tc>
          <w:tcPr>
            <w:tcW w:w="1925" w:type="dxa"/>
            <w:tcBorders>
              <w:top w:val="nil"/>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w:t>
            </w:r>
            <w:r>
              <w:rPr>
                <w:rFonts w:cs="Arial"/>
                <w:b/>
                <w:szCs w:val="19"/>
              </w:rPr>
              <w:t>80</w:t>
            </w:r>
            <w:r w:rsidRPr="00201C24">
              <w:rPr>
                <w:rFonts w:cs="Arial"/>
                <w:b/>
                <w:szCs w:val="19"/>
              </w:rPr>
              <w:t xml:space="preserve"> </w:t>
            </w:r>
          </w:p>
        </w:tc>
        <w:tc>
          <w:tcPr>
            <w:tcW w:w="2061" w:type="dxa"/>
            <w:tcBorders>
              <w:top w:val="nil"/>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b/>
                <w:szCs w:val="19"/>
                <w:shd w:val="clear" w:color="auto" w:fill="FFFFFF"/>
              </w:rPr>
            </w:pPr>
            <w:r w:rsidRPr="00201C24">
              <w:rPr>
                <w:rFonts w:cs="Arial"/>
                <w:b/>
                <w:szCs w:val="19"/>
              </w:rPr>
              <w:t xml:space="preserve">       </w:t>
            </w:r>
            <w:r>
              <w:rPr>
                <w:rFonts w:cs="Arial"/>
                <w:b/>
                <w:szCs w:val="19"/>
              </w:rPr>
              <w:t>131,1</w:t>
            </w:r>
            <w:r w:rsidRPr="00201C24">
              <w:rPr>
                <w:rFonts w:cs="Arial"/>
                <w:b/>
                <w:szCs w:val="19"/>
              </w:rPr>
              <w:t xml:space="preserve"> </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r>
              <w:t>men</w:t>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40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48</w:t>
            </w:r>
            <w:r w:rsidRPr="00201C2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120,0</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rsidRPr="00201C24">
              <w:t xml:space="preserve">    </w:t>
            </w:r>
            <w:proofErr w:type="spellStart"/>
            <w:r>
              <w:t>women</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21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32</w:t>
            </w:r>
            <w:r w:rsidRPr="00201C2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 xml:space="preserve">         152,4</w:t>
            </w:r>
          </w:p>
        </w:tc>
      </w:tr>
      <w:tr w:rsidR="00091E87" w:rsidRPr="00201C24" w:rsidTr="005C4791">
        <w:tc>
          <w:tcPr>
            <w:tcW w:w="2019" w:type="dxa"/>
            <w:tcBorders>
              <w:top w:val="single" w:sz="4" w:space="0" w:color="001D77"/>
              <w:left w:val="nil"/>
              <w:bottom w:val="single" w:sz="4" w:space="0" w:color="001D77"/>
              <w:right w:val="single" w:sz="4" w:space="0" w:color="001D77"/>
            </w:tcBorders>
          </w:tcPr>
          <w:p w:rsidR="00091E87" w:rsidRPr="00201C24" w:rsidRDefault="00091E87" w:rsidP="00091E87">
            <w:pPr>
              <w:pStyle w:val="Boczektabeli2"/>
            </w:pPr>
            <w:r>
              <w:t xml:space="preserve">Urban </w:t>
            </w:r>
            <w:proofErr w:type="spellStart"/>
            <w:r>
              <w:t>areas</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38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56</w:t>
            </w:r>
            <w:r w:rsidRPr="00201C2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147,4</w:t>
            </w:r>
          </w:p>
        </w:tc>
      </w:tr>
      <w:tr w:rsidR="00091E87" w:rsidRPr="00201C24" w:rsidTr="005C4791">
        <w:tc>
          <w:tcPr>
            <w:tcW w:w="2019" w:type="dxa"/>
            <w:tcBorders>
              <w:top w:val="single" w:sz="4" w:space="0" w:color="001D77"/>
              <w:left w:val="nil"/>
              <w:bottom w:val="nil"/>
              <w:right w:val="single" w:sz="4" w:space="0" w:color="001D77"/>
            </w:tcBorders>
          </w:tcPr>
          <w:p w:rsidR="00091E87" w:rsidRPr="00201C2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967"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23   </w:t>
            </w:r>
          </w:p>
        </w:tc>
        <w:tc>
          <w:tcPr>
            <w:tcW w:w="1925" w:type="dxa"/>
            <w:tcBorders>
              <w:top w:val="single" w:sz="4" w:space="0" w:color="001D77"/>
              <w:left w:val="single" w:sz="4" w:space="0" w:color="001D77"/>
              <w:bottom w:val="nil"/>
              <w:right w:val="single" w:sz="4" w:space="0" w:color="001D77"/>
            </w:tcBorders>
            <w:shd w:val="clear" w:color="auto" w:fill="auto"/>
            <w:vAlign w:val="center"/>
          </w:tcPr>
          <w:p w:rsidR="00091E87" w:rsidRPr="00201C24" w:rsidRDefault="00091E87" w:rsidP="00091E87">
            <w:pPr>
              <w:spacing w:line="240" w:lineRule="exact"/>
              <w:jc w:val="right"/>
              <w:rPr>
                <w:szCs w:val="19"/>
                <w:shd w:val="clear" w:color="auto" w:fill="FFFFFF"/>
              </w:rPr>
            </w:pPr>
            <w:r>
              <w:rPr>
                <w:rFonts w:cs="Arial"/>
                <w:szCs w:val="19"/>
              </w:rPr>
              <w:t xml:space="preserve">                24</w:t>
            </w:r>
            <w:r w:rsidRPr="00201C24">
              <w:rPr>
                <w:rFonts w:cs="Arial"/>
                <w:szCs w:val="19"/>
              </w:rPr>
              <w:t xml:space="preserve">   </w:t>
            </w:r>
          </w:p>
        </w:tc>
        <w:tc>
          <w:tcPr>
            <w:tcW w:w="2061" w:type="dxa"/>
            <w:tcBorders>
              <w:top w:val="single" w:sz="4" w:space="0" w:color="001D77"/>
              <w:left w:val="single" w:sz="4" w:space="0" w:color="001D77"/>
              <w:bottom w:val="nil"/>
              <w:right w:val="nil"/>
            </w:tcBorders>
            <w:shd w:val="clear" w:color="auto" w:fill="auto"/>
            <w:vAlign w:val="center"/>
          </w:tcPr>
          <w:p w:rsidR="00091E87" w:rsidRPr="00201C24" w:rsidRDefault="00091E87" w:rsidP="00091E87">
            <w:pPr>
              <w:spacing w:line="240" w:lineRule="exact"/>
              <w:jc w:val="right"/>
              <w:rPr>
                <w:szCs w:val="19"/>
                <w:shd w:val="clear" w:color="auto" w:fill="FFFFFF"/>
              </w:rPr>
            </w:pPr>
            <w:r w:rsidRPr="00201C24">
              <w:rPr>
                <w:rFonts w:cs="Arial"/>
                <w:szCs w:val="19"/>
              </w:rPr>
              <w:t xml:space="preserve"> </w:t>
            </w:r>
            <w:r>
              <w:rPr>
                <w:rFonts w:cs="Arial"/>
                <w:szCs w:val="19"/>
              </w:rPr>
              <w:t xml:space="preserve">     104,3</w:t>
            </w:r>
          </w:p>
        </w:tc>
      </w:tr>
      <w:tr w:rsidR="0010041F" w:rsidRPr="00201C24" w:rsidTr="00F512F0">
        <w:tc>
          <w:tcPr>
            <w:tcW w:w="7972" w:type="dxa"/>
            <w:gridSpan w:val="4"/>
            <w:tcBorders>
              <w:top w:val="nil"/>
              <w:left w:val="nil"/>
              <w:bottom w:val="nil"/>
              <w:right w:val="nil"/>
            </w:tcBorders>
            <w:shd w:val="clear" w:color="auto" w:fill="auto"/>
            <w:vAlign w:val="center"/>
          </w:tcPr>
          <w:p w:rsidR="0010041F" w:rsidRPr="000914C4" w:rsidRDefault="0010041F" w:rsidP="007A1F68">
            <w:pPr>
              <w:pStyle w:val="tytutablicy"/>
              <w:spacing w:before="0" w:after="0" w:line="40" w:lineRule="exact"/>
              <w:rPr>
                <w:b w:val="0"/>
                <w:shd w:val="clear" w:color="auto" w:fill="FFFFFF"/>
              </w:rPr>
            </w:pPr>
          </w:p>
          <w:p w:rsidR="0010041F" w:rsidRPr="000914C4" w:rsidRDefault="00091E87" w:rsidP="0010041F">
            <w:pPr>
              <w:spacing w:before="60" w:after="60"/>
              <w:jc w:val="center"/>
              <w:rPr>
                <w:b/>
                <w:szCs w:val="19"/>
                <w:shd w:val="clear" w:color="auto" w:fill="FFFFFF"/>
              </w:rPr>
            </w:pPr>
            <w:r>
              <w:rPr>
                <w:b/>
                <w:szCs w:val="19"/>
                <w:shd w:val="clear" w:color="auto" w:fill="FFFFFF"/>
              </w:rPr>
              <w:t>ECONOMICALLY INACTIVE PERSONS</w:t>
            </w:r>
          </w:p>
          <w:p w:rsidR="0010041F" w:rsidRPr="000914C4" w:rsidRDefault="0010041F" w:rsidP="0010041F">
            <w:pPr>
              <w:spacing w:before="0" w:after="0" w:line="40" w:lineRule="exact"/>
              <w:jc w:val="center"/>
              <w:rPr>
                <w:b/>
                <w:szCs w:val="19"/>
                <w:shd w:val="clear" w:color="auto" w:fill="FFFFFF"/>
              </w:rPr>
            </w:pPr>
          </w:p>
        </w:tc>
      </w:tr>
      <w:tr w:rsidR="00091E87" w:rsidRPr="00955174" w:rsidTr="005C4791">
        <w:tc>
          <w:tcPr>
            <w:tcW w:w="2019" w:type="dxa"/>
            <w:tcBorders>
              <w:top w:val="nil"/>
              <w:left w:val="nil"/>
              <w:bottom w:val="single" w:sz="4" w:space="0" w:color="001D77"/>
              <w:right w:val="single" w:sz="4" w:space="0" w:color="001D77"/>
            </w:tcBorders>
          </w:tcPr>
          <w:p w:rsidR="00091E87" w:rsidRPr="000914C4" w:rsidRDefault="00091E87" w:rsidP="00091E87">
            <w:pPr>
              <w:pStyle w:val="Boczektabeli"/>
            </w:pPr>
            <w:r>
              <w:t>TOTAL</w:t>
            </w:r>
            <w:r w:rsidRPr="00201C24">
              <w:tab/>
            </w:r>
          </w:p>
        </w:tc>
        <w:tc>
          <w:tcPr>
            <w:tcW w:w="1967" w:type="dxa"/>
            <w:tcBorders>
              <w:top w:val="nil"/>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b/>
                <w:szCs w:val="19"/>
                <w:shd w:val="clear" w:color="auto" w:fill="FFFFFF"/>
              </w:rPr>
            </w:pPr>
            <w:r w:rsidRPr="000914C4">
              <w:rPr>
                <w:rFonts w:cs="Arial"/>
                <w:b/>
                <w:szCs w:val="19"/>
              </w:rPr>
              <w:t xml:space="preserve">            1 648</w:t>
            </w:r>
          </w:p>
        </w:tc>
        <w:tc>
          <w:tcPr>
            <w:tcW w:w="1925" w:type="dxa"/>
            <w:tcBorders>
              <w:top w:val="nil"/>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b/>
                <w:szCs w:val="19"/>
                <w:shd w:val="clear" w:color="auto" w:fill="FFFFFF"/>
              </w:rPr>
            </w:pPr>
            <w:r>
              <w:rPr>
                <w:rFonts w:cs="Arial"/>
                <w:b/>
                <w:szCs w:val="19"/>
              </w:rPr>
              <w:t xml:space="preserve">            1 629</w:t>
            </w:r>
          </w:p>
        </w:tc>
        <w:tc>
          <w:tcPr>
            <w:tcW w:w="2061" w:type="dxa"/>
            <w:tcBorders>
              <w:top w:val="nil"/>
              <w:left w:val="single" w:sz="4" w:space="0" w:color="001D77"/>
              <w:bottom w:val="single" w:sz="4" w:space="0" w:color="001D77"/>
              <w:right w:val="nil"/>
            </w:tcBorders>
            <w:shd w:val="clear" w:color="auto" w:fill="auto"/>
            <w:vAlign w:val="center"/>
          </w:tcPr>
          <w:p w:rsidR="00091E87" w:rsidRPr="000914C4" w:rsidRDefault="00091E87" w:rsidP="00091E87">
            <w:pPr>
              <w:jc w:val="right"/>
              <w:rPr>
                <w:b/>
                <w:szCs w:val="19"/>
                <w:shd w:val="clear" w:color="auto" w:fill="FFFFFF"/>
              </w:rPr>
            </w:pPr>
            <w:r w:rsidRPr="000914C4">
              <w:rPr>
                <w:rFonts w:cs="Arial"/>
                <w:b/>
                <w:szCs w:val="19"/>
              </w:rPr>
              <w:t xml:space="preserve">      </w:t>
            </w:r>
            <w:r>
              <w:rPr>
                <w:rFonts w:cs="Arial"/>
                <w:b/>
                <w:szCs w:val="19"/>
              </w:rPr>
              <w:t>98,8</w:t>
            </w:r>
          </w:p>
        </w:tc>
      </w:tr>
      <w:tr w:rsidR="00091E87" w:rsidRPr="00955174" w:rsidTr="005C4791">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201C24">
              <w:t xml:space="preserve">    </w:t>
            </w:r>
            <w:r>
              <w:t>men</w:t>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616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6</w:t>
            </w:r>
            <w:r>
              <w:rPr>
                <w:rFonts w:cs="Arial"/>
                <w:szCs w:val="19"/>
              </w:rPr>
              <w:t>24</w:t>
            </w:r>
            <w:r w:rsidRPr="000914C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w:t>
            </w:r>
            <w:r>
              <w:rPr>
                <w:rFonts w:cs="Arial"/>
                <w:szCs w:val="19"/>
              </w:rPr>
              <w:t>101,3</w:t>
            </w:r>
          </w:p>
        </w:tc>
      </w:tr>
      <w:tr w:rsidR="00091E87" w:rsidRPr="00955174" w:rsidTr="005C4791">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201C24">
              <w:t xml:space="preserve">    </w:t>
            </w:r>
            <w:proofErr w:type="spellStart"/>
            <w:r>
              <w:t>women</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1 032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Pr>
                <w:rFonts w:cs="Arial"/>
                <w:szCs w:val="19"/>
              </w:rPr>
              <w:t xml:space="preserve">            1 004</w:t>
            </w:r>
            <w:r w:rsidRPr="000914C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w:t>
            </w:r>
            <w:r>
              <w:rPr>
                <w:rFonts w:cs="Arial"/>
                <w:szCs w:val="19"/>
              </w:rPr>
              <w:t>97,3</w:t>
            </w:r>
          </w:p>
        </w:tc>
      </w:tr>
      <w:tr w:rsidR="00091E87" w:rsidRPr="00955174" w:rsidTr="005C4791">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t xml:space="preserve">Urban </w:t>
            </w:r>
            <w:proofErr w:type="spellStart"/>
            <w:r>
              <w:t>areas</w:t>
            </w:r>
            <w:proofErr w:type="spellEnd"/>
            <w:r w:rsidRPr="00201C24">
              <w:tab/>
            </w:r>
          </w:p>
        </w:tc>
        <w:tc>
          <w:tcPr>
            <w:tcW w:w="1967"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1 038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jc w:val="right"/>
              <w:rPr>
                <w:szCs w:val="19"/>
                <w:shd w:val="clear" w:color="auto" w:fill="FFFFFF"/>
              </w:rPr>
            </w:pPr>
            <w:r>
              <w:rPr>
                <w:rFonts w:cs="Arial"/>
                <w:szCs w:val="19"/>
              </w:rPr>
              <w:t xml:space="preserve">            1 029</w:t>
            </w:r>
            <w:r w:rsidRPr="000914C4">
              <w:rPr>
                <w:rFonts w:cs="Arial"/>
                <w:szCs w:val="19"/>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w:t>
            </w:r>
            <w:r>
              <w:rPr>
                <w:rFonts w:cs="Arial"/>
                <w:szCs w:val="19"/>
              </w:rPr>
              <w:t>99,1</w:t>
            </w:r>
          </w:p>
        </w:tc>
      </w:tr>
      <w:tr w:rsidR="00091E87" w:rsidRPr="00955174" w:rsidTr="005C4791">
        <w:tc>
          <w:tcPr>
            <w:tcW w:w="2019" w:type="dxa"/>
            <w:tcBorders>
              <w:top w:val="single" w:sz="4" w:space="0" w:color="001D77"/>
              <w:left w:val="nil"/>
              <w:bottom w:val="nil"/>
              <w:right w:val="single" w:sz="4" w:space="0" w:color="001D77"/>
            </w:tcBorders>
          </w:tcPr>
          <w:p w:rsidR="00091E87" w:rsidRPr="000914C4" w:rsidRDefault="00091E87" w:rsidP="00091E87">
            <w:pPr>
              <w:pStyle w:val="Boczektabeli2"/>
            </w:pPr>
            <w:proofErr w:type="spellStart"/>
            <w:r>
              <w:t>Rural</w:t>
            </w:r>
            <w:proofErr w:type="spellEnd"/>
            <w:r>
              <w:t xml:space="preserve"> </w:t>
            </w:r>
            <w:proofErr w:type="spellStart"/>
            <w:r>
              <w:t>areas</w:t>
            </w:r>
            <w:proofErr w:type="spellEnd"/>
            <w:r w:rsidRPr="00201C24">
              <w:tab/>
            </w:r>
          </w:p>
        </w:tc>
        <w:tc>
          <w:tcPr>
            <w:tcW w:w="1967" w:type="dxa"/>
            <w:tcBorders>
              <w:top w:val="single" w:sz="4" w:space="0" w:color="001D77"/>
              <w:left w:val="single" w:sz="4" w:space="0" w:color="001D77"/>
              <w:bottom w:val="nil"/>
              <w:right w:val="single" w:sz="4" w:space="0" w:color="001D77"/>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609    </w:t>
            </w:r>
          </w:p>
        </w:tc>
        <w:tc>
          <w:tcPr>
            <w:tcW w:w="1925" w:type="dxa"/>
            <w:tcBorders>
              <w:top w:val="single" w:sz="4" w:space="0" w:color="001D77"/>
              <w:left w:val="single" w:sz="4" w:space="0" w:color="001D77"/>
              <w:bottom w:val="nil"/>
              <w:right w:val="single" w:sz="4" w:space="0" w:color="001D77"/>
            </w:tcBorders>
            <w:shd w:val="clear" w:color="auto" w:fill="auto"/>
            <w:vAlign w:val="center"/>
          </w:tcPr>
          <w:p w:rsidR="00091E87" w:rsidRPr="000914C4" w:rsidRDefault="00091E87" w:rsidP="00091E87">
            <w:pPr>
              <w:jc w:val="right"/>
              <w:rPr>
                <w:szCs w:val="19"/>
                <w:shd w:val="clear" w:color="auto" w:fill="FFFFFF"/>
              </w:rPr>
            </w:pPr>
            <w:r>
              <w:rPr>
                <w:rFonts w:cs="Arial"/>
                <w:szCs w:val="19"/>
              </w:rPr>
              <w:t xml:space="preserve">               59</w:t>
            </w:r>
            <w:r w:rsidRPr="000914C4">
              <w:rPr>
                <w:rFonts w:cs="Arial"/>
                <w:szCs w:val="19"/>
              </w:rPr>
              <w:t xml:space="preserve">9    </w:t>
            </w:r>
          </w:p>
        </w:tc>
        <w:tc>
          <w:tcPr>
            <w:tcW w:w="2061" w:type="dxa"/>
            <w:tcBorders>
              <w:top w:val="single" w:sz="4" w:space="0" w:color="001D77"/>
              <w:left w:val="single" w:sz="4" w:space="0" w:color="001D77"/>
              <w:bottom w:val="nil"/>
              <w:right w:val="nil"/>
            </w:tcBorders>
            <w:shd w:val="clear" w:color="auto" w:fill="auto"/>
            <w:vAlign w:val="center"/>
          </w:tcPr>
          <w:p w:rsidR="00091E87" w:rsidRPr="000914C4" w:rsidRDefault="00091E87" w:rsidP="00091E87">
            <w:pPr>
              <w:jc w:val="right"/>
              <w:rPr>
                <w:szCs w:val="19"/>
                <w:shd w:val="clear" w:color="auto" w:fill="FFFFFF"/>
              </w:rPr>
            </w:pPr>
            <w:r w:rsidRPr="000914C4">
              <w:rPr>
                <w:rFonts w:cs="Arial"/>
                <w:szCs w:val="19"/>
              </w:rPr>
              <w:t xml:space="preserve">      </w:t>
            </w:r>
            <w:r>
              <w:rPr>
                <w:rFonts w:cs="Arial"/>
                <w:szCs w:val="19"/>
              </w:rPr>
              <w:t xml:space="preserve">  98,4</w:t>
            </w:r>
          </w:p>
        </w:tc>
      </w:tr>
    </w:tbl>
    <w:p w:rsidR="007A1F68" w:rsidRDefault="007A1F68" w:rsidP="00D139A5">
      <w:pPr>
        <w:pStyle w:val="tytutablicy"/>
        <w:rPr>
          <w:shd w:val="clear" w:color="auto" w:fill="FFFFFF"/>
        </w:rPr>
      </w:pPr>
    </w:p>
    <w:p w:rsidR="007A1F68" w:rsidRDefault="007A1F68" w:rsidP="00D139A5">
      <w:pPr>
        <w:pStyle w:val="tytutablicy"/>
        <w:rPr>
          <w:shd w:val="clear" w:color="auto" w:fill="FFFFFF"/>
        </w:rPr>
      </w:pPr>
    </w:p>
    <w:p w:rsidR="007A1F68" w:rsidRDefault="007A1F68" w:rsidP="00D139A5">
      <w:pPr>
        <w:pStyle w:val="tytutablicy"/>
        <w:rPr>
          <w:shd w:val="clear" w:color="auto" w:fill="FFFFFF"/>
        </w:rPr>
      </w:pPr>
    </w:p>
    <w:p w:rsidR="007A1F68" w:rsidRDefault="007A1F68" w:rsidP="00D139A5">
      <w:pPr>
        <w:pStyle w:val="tytutablicy"/>
        <w:rPr>
          <w:shd w:val="clear" w:color="auto" w:fill="FFFFFF"/>
        </w:rPr>
      </w:pPr>
    </w:p>
    <w:p w:rsidR="007A1F68" w:rsidRPr="00091E87" w:rsidRDefault="007A1F68" w:rsidP="00D139A5">
      <w:pPr>
        <w:pStyle w:val="tytutablicy"/>
        <w:rPr>
          <w:shd w:val="clear" w:color="auto" w:fill="FFFFFF"/>
          <w:lang w:val="en-US"/>
        </w:rPr>
      </w:pPr>
    </w:p>
    <w:p w:rsidR="007A1F68" w:rsidRPr="00091E87" w:rsidRDefault="007A1F68" w:rsidP="00D139A5">
      <w:pPr>
        <w:pStyle w:val="tytutablicy"/>
        <w:rPr>
          <w:shd w:val="clear" w:color="auto" w:fill="FFFFFF"/>
          <w:lang w:val="en-US"/>
        </w:rPr>
      </w:pPr>
    </w:p>
    <w:p w:rsidR="007A1F68" w:rsidRPr="00091E87" w:rsidRDefault="007A1F68" w:rsidP="00D139A5">
      <w:pPr>
        <w:pStyle w:val="tytutablicy"/>
        <w:rPr>
          <w:shd w:val="clear" w:color="auto" w:fill="FFFFFF"/>
          <w:lang w:val="en-US"/>
        </w:rPr>
      </w:pPr>
    </w:p>
    <w:p w:rsidR="002E587D" w:rsidRPr="00091E87" w:rsidRDefault="004C67F3" w:rsidP="00D139A5">
      <w:pPr>
        <w:pStyle w:val="tytutablicy"/>
        <w:rPr>
          <w:shd w:val="clear" w:color="auto" w:fill="FFFFFF"/>
          <w:lang w:val="en-US"/>
        </w:rPr>
      </w:pPr>
      <w:r w:rsidRPr="00091E87">
        <w:rPr>
          <w:shd w:val="clear" w:color="auto" w:fill="FFFFFF"/>
          <w:lang w:val="en-US"/>
        </w:rPr>
        <w:lastRenderedPageBreak/>
        <w:t>Tabl</w:t>
      </w:r>
      <w:r w:rsidR="00091E87" w:rsidRPr="00091E87">
        <w:rPr>
          <w:shd w:val="clear" w:color="auto" w:fill="FFFFFF"/>
          <w:lang w:val="en-US"/>
        </w:rPr>
        <w:t>e</w:t>
      </w:r>
      <w:r w:rsidR="00C92253" w:rsidRPr="00091E87">
        <w:rPr>
          <w:shd w:val="clear" w:color="auto" w:fill="FFFFFF"/>
          <w:lang w:val="en-US"/>
        </w:rPr>
        <w:t xml:space="preserve"> </w:t>
      </w:r>
      <w:r w:rsidR="008308D7" w:rsidRPr="00091E87">
        <w:rPr>
          <w:shd w:val="clear" w:color="auto" w:fill="FFFFFF"/>
          <w:lang w:val="en-US"/>
        </w:rPr>
        <w:t>3</w:t>
      </w:r>
      <w:r w:rsidR="00C92253" w:rsidRPr="00091E87">
        <w:rPr>
          <w:shd w:val="clear" w:color="auto" w:fill="FFFFFF"/>
          <w:lang w:val="en-US"/>
        </w:rPr>
        <w:t xml:space="preserve">. </w:t>
      </w:r>
      <w:r w:rsidR="00091E87" w:rsidRPr="00091E87">
        <w:rPr>
          <w:shd w:val="clear" w:color="auto" w:fill="FFFFFF"/>
          <w:lang w:val="en-US"/>
        </w:rPr>
        <w:t>Employment rate and unemployment rate by age</w:t>
      </w:r>
      <w:r w:rsidR="00091E87" w:rsidRPr="00091E87" w:rsidDel="00091E87">
        <w:rPr>
          <w:shd w:val="clear" w:color="auto" w:fill="FFFFFF"/>
          <w:lang w:val="en-US"/>
        </w:rPr>
        <w:t xml:space="preserve"> </w:t>
      </w:r>
    </w:p>
    <w:p w:rsidR="00A064AE" w:rsidRPr="00091E87" w:rsidRDefault="00A064AE" w:rsidP="00A064AE">
      <w:pPr>
        <w:spacing w:before="0" w:after="0" w:line="20" w:lineRule="exact"/>
        <w:rPr>
          <w:b/>
          <w:szCs w:val="19"/>
          <w:shd w:val="clear" w:color="auto" w:fill="FFFFFF"/>
          <w:lang w:val="en-US"/>
        </w:rPr>
      </w:pPr>
    </w:p>
    <w:tbl>
      <w:tblPr>
        <w:tblW w:w="4951" w:type="pct"/>
        <w:tblInd w:w="108" w:type="dxa"/>
        <w:tblBorders>
          <w:top w:val="single" w:sz="4" w:space="0" w:color="008000"/>
          <w:bottom w:val="single" w:sz="4" w:space="0" w:color="008000"/>
          <w:insideH w:val="single" w:sz="4" w:space="0" w:color="008000"/>
          <w:insideV w:val="single" w:sz="4" w:space="0" w:color="008000"/>
        </w:tblBorders>
        <w:tblLook w:val="01E0" w:firstRow="1" w:lastRow="1" w:firstColumn="1" w:lastColumn="1" w:noHBand="0" w:noVBand="0"/>
        <w:tblCaption w:val="Tablica 3"/>
        <w:tblDescription w:val="Wskaźnik zatrudnienia i stopa bezrobocia według wieku"/>
      </w:tblPr>
      <w:tblGrid>
        <w:gridCol w:w="2019"/>
        <w:gridCol w:w="1954"/>
        <w:gridCol w:w="1873"/>
        <w:gridCol w:w="2142"/>
      </w:tblGrid>
      <w:tr w:rsidR="0010041F" w:rsidRPr="000914C4" w:rsidTr="0010041F">
        <w:trPr>
          <w:trHeight w:val="360"/>
        </w:trPr>
        <w:tc>
          <w:tcPr>
            <w:tcW w:w="2019" w:type="dxa"/>
            <w:vMerge w:val="restart"/>
            <w:tcBorders>
              <w:top w:val="nil"/>
              <w:left w:val="nil"/>
              <w:right w:val="single" w:sz="4" w:space="0" w:color="001D77"/>
            </w:tcBorders>
            <w:shd w:val="clear" w:color="auto" w:fill="auto"/>
            <w:vAlign w:val="center"/>
          </w:tcPr>
          <w:p w:rsidR="0010041F" w:rsidRPr="000914C4" w:rsidRDefault="00091E87" w:rsidP="00D95F72">
            <w:pPr>
              <w:pStyle w:val="Gwkatablicy"/>
            </w:pPr>
            <w:proofErr w:type="spellStart"/>
            <w:r>
              <w:t>Specification</w:t>
            </w:r>
            <w:proofErr w:type="spellEnd"/>
          </w:p>
        </w:tc>
        <w:tc>
          <w:tcPr>
            <w:tcW w:w="1954" w:type="dxa"/>
            <w:tcBorders>
              <w:top w:val="nil"/>
              <w:left w:val="single" w:sz="4" w:space="0" w:color="001D77"/>
              <w:bottom w:val="single" w:sz="4" w:space="0" w:color="001D77"/>
              <w:right w:val="nil"/>
            </w:tcBorders>
            <w:shd w:val="clear" w:color="auto" w:fill="auto"/>
            <w:vAlign w:val="center"/>
          </w:tcPr>
          <w:p w:rsidR="0010041F" w:rsidRPr="000914C4" w:rsidRDefault="0010041F" w:rsidP="00D95F72">
            <w:pPr>
              <w:pStyle w:val="Gwkatablicy"/>
            </w:pPr>
            <w:r w:rsidRPr="000914C4">
              <w:t>2021</w:t>
            </w:r>
          </w:p>
        </w:tc>
        <w:tc>
          <w:tcPr>
            <w:tcW w:w="4015" w:type="dxa"/>
            <w:gridSpan w:val="2"/>
            <w:tcBorders>
              <w:top w:val="nil"/>
              <w:left w:val="single" w:sz="4" w:space="0" w:color="001D77"/>
              <w:bottom w:val="single" w:sz="4" w:space="0" w:color="001D77"/>
              <w:right w:val="nil"/>
            </w:tcBorders>
            <w:shd w:val="clear" w:color="auto" w:fill="auto"/>
            <w:vAlign w:val="center"/>
          </w:tcPr>
          <w:p w:rsidR="0010041F" w:rsidRPr="000914C4" w:rsidRDefault="0010041F" w:rsidP="00D95F72">
            <w:pPr>
              <w:pStyle w:val="Gwkatablicy"/>
            </w:pPr>
            <w:r>
              <w:t>2022</w:t>
            </w:r>
          </w:p>
        </w:tc>
      </w:tr>
      <w:tr w:rsidR="0004508C" w:rsidRPr="000914C4" w:rsidTr="00AF54E0">
        <w:trPr>
          <w:trHeight w:val="360"/>
        </w:trPr>
        <w:tc>
          <w:tcPr>
            <w:tcW w:w="2019" w:type="dxa"/>
            <w:vMerge/>
            <w:tcBorders>
              <w:left w:val="nil"/>
              <w:right w:val="single" w:sz="4" w:space="0" w:color="001D77"/>
            </w:tcBorders>
            <w:shd w:val="clear" w:color="auto" w:fill="auto"/>
            <w:vAlign w:val="center"/>
          </w:tcPr>
          <w:p w:rsidR="0004508C" w:rsidRPr="000914C4" w:rsidRDefault="0004508C" w:rsidP="00B00DE3">
            <w:pPr>
              <w:spacing w:line="240" w:lineRule="exact"/>
              <w:jc w:val="center"/>
              <w:rPr>
                <w:szCs w:val="19"/>
                <w:shd w:val="clear" w:color="auto" w:fill="FFFFFF"/>
              </w:rPr>
            </w:pPr>
          </w:p>
        </w:tc>
        <w:tc>
          <w:tcPr>
            <w:tcW w:w="1954" w:type="dxa"/>
            <w:tcBorders>
              <w:top w:val="nil"/>
              <w:left w:val="single" w:sz="4" w:space="0" w:color="001D77"/>
              <w:bottom w:val="single" w:sz="4" w:space="0" w:color="001D77"/>
              <w:right w:val="single" w:sz="4" w:space="0" w:color="001D77"/>
            </w:tcBorders>
            <w:shd w:val="clear" w:color="auto" w:fill="auto"/>
            <w:vAlign w:val="center"/>
          </w:tcPr>
          <w:p w:rsidR="0004508C" w:rsidRPr="000914C4" w:rsidRDefault="00091E87" w:rsidP="00D95F72">
            <w:pPr>
              <w:pStyle w:val="Gwkatablicy"/>
            </w:pPr>
            <w:r>
              <w:t>Q4</w:t>
            </w:r>
          </w:p>
        </w:tc>
        <w:tc>
          <w:tcPr>
            <w:tcW w:w="4015" w:type="dxa"/>
            <w:gridSpan w:val="2"/>
            <w:tcBorders>
              <w:top w:val="nil"/>
              <w:left w:val="single" w:sz="4" w:space="0" w:color="001D77"/>
              <w:bottom w:val="single" w:sz="4" w:space="0" w:color="001D77"/>
              <w:right w:val="nil"/>
            </w:tcBorders>
            <w:shd w:val="clear" w:color="auto" w:fill="auto"/>
            <w:vAlign w:val="center"/>
          </w:tcPr>
          <w:p w:rsidR="0004508C" w:rsidRPr="000914C4" w:rsidRDefault="00091E87" w:rsidP="00D95F72">
            <w:pPr>
              <w:pStyle w:val="Gwkatablicy"/>
            </w:pPr>
            <w:r>
              <w:t>Q1</w:t>
            </w:r>
          </w:p>
        </w:tc>
      </w:tr>
      <w:tr w:rsidR="00091E87" w:rsidRPr="002E58AF" w:rsidTr="004961CE">
        <w:trPr>
          <w:trHeight w:val="756"/>
        </w:trPr>
        <w:tc>
          <w:tcPr>
            <w:tcW w:w="2019" w:type="dxa"/>
            <w:vMerge/>
            <w:tcBorders>
              <w:left w:val="nil"/>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center"/>
              <w:rPr>
                <w:b/>
                <w:szCs w:val="19"/>
                <w:shd w:val="clear" w:color="auto" w:fill="FFFFFF"/>
              </w:rPr>
            </w:pPr>
          </w:p>
        </w:tc>
        <w:tc>
          <w:tcPr>
            <w:tcW w:w="3827" w:type="dxa"/>
            <w:gridSpan w:val="2"/>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pStyle w:val="Gwkatablicy"/>
            </w:pPr>
            <w:r>
              <w:t>in</w:t>
            </w:r>
            <w:r w:rsidRPr="000914C4">
              <w:t xml:space="preserve"> %</w:t>
            </w:r>
          </w:p>
        </w:tc>
        <w:tc>
          <w:tcPr>
            <w:tcW w:w="2142" w:type="dxa"/>
            <w:tcBorders>
              <w:top w:val="single" w:sz="4" w:space="0" w:color="001D77"/>
              <w:left w:val="single" w:sz="4" w:space="0" w:color="001D77"/>
              <w:bottom w:val="single" w:sz="12" w:space="0" w:color="001D77"/>
              <w:right w:val="nil"/>
            </w:tcBorders>
            <w:shd w:val="clear" w:color="auto" w:fill="auto"/>
            <w:vAlign w:val="center"/>
          </w:tcPr>
          <w:p w:rsidR="00091E87" w:rsidRPr="00091E87" w:rsidRDefault="00091E87" w:rsidP="00091E87">
            <w:pPr>
              <w:pStyle w:val="Gwkatablicy"/>
              <w:rPr>
                <w:lang w:val="en-US"/>
              </w:rPr>
            </w:pPr>
            <w:r w:rsidRPr="00091E87">
              <w:rPr>
                <w:lang w:val="en-US"/>
              </w:rPr>
              <w:t xml:space="preserve">increase/decrease </w:t>
            </w:r>
            <w:r w:rsidRPr="00091E87">
              <w:rPr>
                <w:lang w:val="en-US"/>
              </w:rPr>
              <w:br/>
              <w:t>in pp compared to the previous period</w:t>
            </w:r>
          </w:p>
        </w:tc>
      </w:tr>
      <w:tr w:rsidR="0004508C" w:rsidRPr="000914C4" w:rsidTr="003954D7">
        <w:trPr>
          <w:trHeight w:val="170"/>
        </w:trPr>
        <w:tc>
          <w:tcPr>
            <w:tcW w:w="7988" w:type="dxa"/>
            <w:gridSpan w:val="4"/>
            <w:tcBorders>
              <w:top w:val="single" w:sz="4" w:space="0" w:color="001D77"/>
              <w:left w:val="nil"/>
              <w:bottom w:val="nil"/>
              <w:right w:val="nil"/>
            </w:tcBorders>
          </w:tcPr>
          <w:p w:rsidR="0004508C" w:rsidRPr="000914C4" w:rsidRDefault="00091E87" w:rsidP="0010342B">
            <w:pPr>
              <w:spacing w:line="240" w:lineRule="exact"/>
              <w:jc w:val="center"/>
              <w:rPr>
                <w:rFonts w:cs="Arial"/>
                <w:b/>
                <w:szCs w:val="19"/>
              </w:rPr>
            </w:pPr>
            <w:r w:rsidRPr="00091E87">
              <w:rPr>
                <w:rFonts w:cs="Arial"/>
                <w:b/>
                <w:szCs w:val="19"/>
              </w:rPr>
              <w:t>EMPLOYMENT RATE</w:t>
            </w:r>
          </w:p>
        </w:tc>
      </w:tr>
      <w:tr w:rsidR="00091E87" w:rsidRPr="000914C4" w:rsidTr="00AF54E0">
        <w:trPr>
          <w:trHeight w:val="170"/>
        </w:trPr>
        <w:tc>
          <w:tcPr>
            <w:tcW w:w="2019" w:type="dxa"/>
            <w:tcBorders>
              <w:top w:val="nil"/>
              <w:left w:val="nil"/>
              <w:bottom w:val="single" w:sz="4" w:space="0" w:color="001D77"/>
              <w:right w:val="single" w:sz="4" w:space="0" w:color="001D77"/>
            </w:tcBorders>
          </w:tcPr>
          <w:p w:rsidR="00091E87" w:rsidRPr="000914C4" w:rsidRDefault="00091E87" w:rsidP="00091E87">
            <w:pPr>
              <w:pStyle w:val="Boczektabeli"/>
            </w:pPr>
            <w:r w:rsidRPr="00BA45F8">
              <w:t>TOTAL</w:t>
            </w:r>
            <w:r w:rsidRPr="00BA45F8">
              <w:tab/>
            </w:r>
          </w:p>
        </w:tc>
        <w:tc>
          <w:tcPr>
            <w:tcW w:w="1954" w:type="dxa"/>
            <w:tcBorders>
              <w:top w:val="nil"/>
              <w:left w:val="single" w:sz="4" w:space="0" w:color="212492"/>
              <w:bottom w:val="single" w:sz="4" w:space="0" w:color="212492"/>
              <w:right w:val="single" w:sz="4" w:space="0" w:color="212492"/>
            </w:tcBorders>
            <w:shd w:val="clear" w:color="auto" w:fill="auto"/>
            <w:vAlign w:val="center"/>
          </w:tcPr>
          <w:p w:rsidR="00091E87" w:rsidRPr="000914C4" w:rsidRDefault="00091E87" w:rsidP="00091E87">
            <w:pPr>
              <w:spacing w:line="240" w:lineRule="exact"/>
              <w:jc w:val="right"/>
              <w:rPr>
                <w:b/>
                <w:szCs w:val="19"/>
                <w:shd w:val="clear" w:color="auto" w:fill="FFFFFF"/>
              </w:rPr>
            </w:pPr>
            <w:r w:rsidRPr="000914C4">
              <w:rPr>
                <w:rFonts w:cs="Arial"/>
                <w:b/>
                <w:szCs w:val="19"/>
              </w:rPr>
              <w:t xml:space="preserve">              60,3 </w:t>
            </w:r>
          </w:p>
        </w:tc>
        <w:tc>
          <w:tcPr>
            <w:tcW w:w="1873" w:type="dxa"/>
            <w:tcBorders>
              <w:top w:val="nil"/>
              <w:left w:val="single" w:sz="4" w:space="0" w:color="212492"/>
              <w:bottom w:val="single" w:sz="4" w:space="0" w:color="212492"/>
              <w:right w:val="single" w:sz="4" w:space="0" w:color="212492"/>
            </w:tcBorders>
            <w:shd w:val="clear" w:color="auto" w:fill="auto"/>
            <w:vAlign w:val="center"/>
          </w:tcPr>
          <w:p w:rsidR="00091E87" w:rsidRPr="000914C4" w:rsidRDefault="00091E87" w:rsidP="00091E87">
            <w:pPr>
              <w:spacing w:line="240" w:lineRule="exact"/>
              <w:jc w:val="right"/>
              <w:rPr>
                <w:b/>
                <w:szCs w:val="19"/>
                <w:shd w:val="clear" w:color="auto" w:fill="FFFFFF"/>
              </w:rPr>
            </w:pPr>
            <w:r w:rsidRPr="000914C4">
              <w:rPr>
                <w:rFonts w:cs="Arial"/>
                <w:b/>
                <w:szCs w:val="19"/>
              </w:rPr>
              <w:t xml:space="preserve">              60,3 </w:t>
            </w:r>
          </w:p>
        </w:tc>
        <w:tc>
          <w:tcPr>
            <w:tcW w:w="2142" w:type="dxa"/>
            <w:tcBorders>
              <w:top w:val="nil"/>
              <w:left w:val="single" w:sz="4" w:space="0" w:color="212492"/>
              <w:bottom w:val="single" w:sz="4" w:space="0" w:color="212492"/>
              <w:right w:val="nil"/>
            </w:tcBorders>
            <w:shd w:val="clear" w:color="auto" w:fill="auto"/>
            <w:vAlign w:val="center"/>
          </w:tcPr>
          <w:p w:rsidR="00091E87" w:rsidRPr="000914C4" w:rsidRDefault="00091E87" w:rsidP="00091E87">
            <w:pPr>
              <w:spacing w:line="240" w:lineRule="exact"/>
              <w:jc w:val="right"/>
              <w:rPr>
                <w:b/>
                <w:szCs w:val="19"/>
                <w:shd w:val="clear" w:color="auto" w:fill="FFFFFF"/>
              </w:rPr>
            </w:pPr>
            <w:r>
              <w:rPr>
                <w:rFonts w:cs="Arial"/>
                <w:b/>
                <w:szCs w:val="19"/>
              </w:rPr>
              <w:t xml:space="preserve">  –</w:t>
            </w:r>
          </w:p>
        </w:tc>
      </w:tr>
      <w:tr w:rsidR="00091E87" w:rsidRPr="000914C4" w:rsidTr="00AF54E0">
        <w:trPr>
          <w:trHeight w:val="170"/>
        </w:trPr>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BA45F8">
              <w:t xml:space="preserve">15–24 </w:t>
            </w:r>
            <w:proofErr w:type="spellStart"/>
            <w:r w:rsidRPr="00BA45F8">
              <w:t>years</w:t>
            </w:r>
            <w:proofErr w:type="spellEnd"/>
            <w:r w:rsidRPr="00BA45F8">
              <w:tab/>
            </w:r>
          </w:p>
        </w:tc>
        <w:tc>
          <w:tcPr>
            <w:tcW w:w="1954" w:type="dxa"/>
            <w:tcBorders>
              <w:top w:val="single" w:sz="4" w:space="0" w:color="212492"/>
              <w:left w:val="single" w:sz="4" w:space="0" w:color="212492"/>
              <w:bottom w:val="single" w:sz="4" w:space="0" w:color="212492"/>
              <w:right w:val="single" w:sz="4" w:space="0" w:color="212492"/>
            </w:tcBorders>
            <w:shd w:val="clear" w:color="auto" w:fill="auto"/>
            <w:vAlign w:val="center"/>
          </w:tcPr>
          <w:p w:rsidR="00091E87" w:rsidRPr="000914C4" w:rsidRDefault="00091E87" w:rsidP="00091E87">
            <w:pPr>
              <w:spacing w:line="240" w:lineRule="exact"/>
              <w:jc w:val="right"/>
              <w:rPr>
                <w:szCs w:val="19"/>
                <w:shd w:val="clear" w:color="auto" w:fill="FFFFFF"/>
              </w:rPr>
            </w:pPr>
            <w:r w:rsidRPr="000914C4">
              <w:rPr>
                <w:rFonts w:cs="Arial"/>
                <w:szCs w:val="19"/>
              </w:rPr>
              <w:t xml:space="preserve">              30,9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center"/>
          </w:tcPr>
          <w:p w:rsidR="00091E87" w:rsidRPr="000914C4" w:rsidRDefault="00091E87" w:rsidP="00091E87">
            <w:pPr>
              <w:spacing w:line="240" w:lineRule="exact"/>
              <w:jc w:val="right"/>
              <w:rPr>
                <w:szCs w:val="19"/>
                <w:shd w:val="clear" w:color="auto" w:fill="FFFFFF"/>
              </w:rPr>
            </w:pPr>
            <w:r w:rsidRPr="000914C4">
              <w:rPr>
                <w:rFonts w:cs="Arial"/>
                <w:szCs w:val="19"/>
              </w:rPr>
              <w:t xml:space="preserve">              30,</w:t>
            </w:r>
            <w:r>
              <w:rPr>
                <w:rFonts w:cs="Arial"/>
                <w:szCs w:val="19"/>
              </w:rPr>
              <w:t>4</w:t>
            </w:r>
            <w:r w:rsidRPr="000914C4">
              <w:rPr>
                <w:rFonts w:cs="Arial"/>
                <w:szCs w:val="19"/>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center"/>
          </w:tcPr>
          <w:p w:rsidR="00091E87" w:rsidRPr="000914C4" w:rsidRDefault="00091E87" w:rsidP="00091E87">
            <w:pPr>
              <w:spacing w:line="240" w:lineRule="exact"/>
              <w:jc w:val="right"/>
              <w:rPr>
                <w:szCs w:val="19"/>
                <w:shd w:val="clear" w:color="auto" w:fill="FFFFFF"/>
              </w:rPr>
            </w:pPr>
            <w:r>
              <w:rPr>
                <w:rFonts w:cs="Arial"/>
                <w:szCs w:val="19"/>
              </w:rPr>
              <w:t>–0,5</w:t>
            </w:r>
          </w:p>
        </w:tc>
      </w:tr>
      <w:tr w:rsidR="0010041F" w:rsidRPr="000914C4" w:rsidTr="00AF54E0">
        <w:trPr>
          <w:trHeight w:val="170"/>
        </w:trPr>
        <w:tc>
          <w:tcPr>
            <w:tcW w:w="2019" w:type="dxa"/>
            <w:tcBorders>
              <w:top w:val="single" w:sz="4" w:space="0" w:color="001D77"/>
              <w:left w:val="nil"/>
              <w:bottom w:val="single" w:sz="4" w:space="0" w:color="001D77"/>
              <w:right w:val="single" w:sz="4" w:space="0" w:color="001D77"/>
            </w:tcBorders>
          </w:tcPr>
          <w:p w:rsidR="0010041F" w:rsidRPr="000914C4" w:rsidRDefault="0010041F" w:rsidP="0010041F">
            <w:pPr>
              <w:pStyle w:val="Boczektabeli2"/>
            </w:pPr>
            <w:r w:rsidRPr="000914C4">
              <w:t>25–34</w:t>
            </w:r>
            <w:r w:rsidRPr="000914C4">
              <w:tab/>
            </w:r>
          </w:p>
        </w:tc>
        <w:tc>
          <w:tcPr>
            <w:tcW w:w="1954"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10041F" w:rsidP="0010041F">
            <w:pPr>
              <w:spacing w:line="240" w:lineRule="exact"/>
              <w:jc w:val="right"/>
              <w:rPr>
                <w:szCs w:val="19"/>
                <w:shd w:val="clear" w:color="auto" w:fill="FFFFFF"/>
              </w:rPr>
            </w:pPr>
            <w:r w:rsidRPr="000914C4">
              <w:rPr>
                <w:rFonts w:cs="Arial"/>
                <w:szCs w:val="19"/>
              </w:rPr>
              <w:t xml:space="preserve">              84,0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10041F" w:rsidP="0010041F">
            <w:pPr>
              <w:spacing w:line="240" w:lineRule="exact"/>
              <w:jc w:val="right"/>
              <w:rPr>
                <w:szCs w:val="19"/>
                <w:shd w:val="clear" w:color="auto" w:fill="FFFFFF"/>
              </w:rPr>
            </w:pPr>
            <w:r w:rsidRPr="000914C4">
              <w:rPr>
                <w:rFonts w:cs="Arial"/>
                <w:szCs w:val="19"/>
              </w:rPr>
              <w:t xml:space="preserve">              </w:t>
            </w:r>
            <w:r w:rsidR="003771B5">
              <w:rPr>
                <w:rFonts w:cs="Arial"/>
                <w:szCs w:val="19"/>
              </w:rPr>
              <w:t>86,3</w:t>
            </w:r>
            <w:r w:rsidRPr="000914C4">
              <w:rPr>
                <w:rFonts w:cs="Arial"/>
                <w:szCs w:val="19"/>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center"/>
          </w:tcPr>
          <w:p w:rsidR="0010041F" w:rsidRPr="000914C4" w:rsidRDefault="003771B5" w:rsidP="0010041F">
            <w:pPr>
              <w:spacing w:line="240" w:lineRule="exact"/>
              <w:jc w:val="right"/>
              <w:rPr>
                <w:szCs w:val="19"/>
                <w:shd w:val="clear" w:color="auto" w:fill="FFFFFF"/>
              </w:rPr>
            </w:pPr>
            <w:r>
              <w:rPr>
                <w:rFonts w:cs="Arial"/>
                <w:szCs w:val="19"/>
              </w:rPr>
              <w:t>2,3</w:t>
            </w:r>
          </w:p>
        </w:tc>
      </w:tr>
      <w:tr w:rsidR="0010041F" w:rsidRPr="000914C4" w:rsidTr="00AF54E0">
        <w:trPr>
          <w:trHeight w:val="170"/>
        </w:trPr>
        <w:tc>
          <w:tcPr>
            <w:tcW w:w="2019" w:type="dxa"/>
            <w:tcBorders>
              <w:top w:val="single" w:sz="4" w:space="0" w:color="001D77"/>
              <w:left w:val="nil"/>
              <w:bottom w:val="single" w:sz="4" w:space="0" w:color="001D77"/>
              <w:right w:val="single" w:sz="4" w:space="0" w:color="001D77"/>
            </w:tcBorders>
          </w:tcPr>
          <w:p w:rsidR="0010041F" w:rsidRPr="000914C4" w:rsidRDefault="0010041F" w:rsidP="0010041F">
            <w:pPr>
              <w:pStyle w:val="Boczektabeli2"/>
            </w:pPr>
            <w:r w:rsidRPr="000914C4">
              <w:t>35–44</w:t>
            </w:r>
            <w:r w:rsidRPr="000914C4">
              <w:tab/>
            </w:r>
          </w:p>
        </w:tc>
        <w:tc>
          <w:tcPr>
            <w:tcW w:w="1954"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10041F" w:rsidP="0010041F">
            <w:pPr>
              <w:spacing w:line="240" w:lineRule="exact"/>
              <w:jc w:val="right"/>
              <w:rPr>
                <w:rFonts w:cs="Arial"/>
                <w:szCs w:val="19"/>
              </w:rPr>
            </w:pPr>
            <w:r w:rsidRPr="000914C4">
              <w:rPr>
                <w:rFonts w:cs="Arial"/>
                <w:szCs w:val="19"/>
              </w:rPr>
              <w:t xml:space="preserve">              90,6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3771B5" w:rsidP="0010041F">
            <w:pPr>
              <w:spacing w:line="240" w:lineRule="exact"/>
              <w:jc w:val="right"/>
              <w:rPr>
                <w:rFonts w:cs="Arial"/>
                <w:szCs w:val="19"/>
              </w:rPr>
            </w:pPr>
            <w:r>
              <w:rPr>
                <w:rFonts w:cs="Arial"/>
                <w:szCs w:val="19"/>
              </w:rPr>
              <w:t xml:space="preserve">              89,9</w:t>
            </w:r>
            <w:r w:rsidR="0010041F" w:rsidRPr="000914C4">
              <w:rPr>
                <w:rFonts w:cs="Arial"/>
                <w:szCs w:val="19"/>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center"/>
          </w:tcPr>
          <w:p w:rsidR="0010041F" w:rsidRPr="000914C4" w:rsidRDefault="003771B5" w:rsidP="0010041F">
            <w:pPr>
              <w:spacing w:line="240" w:lineRule="exact"/>
              <w:jc w:val="right"/>
              <w:rPr>
                <w:rFonts w:cs="Arial"/>
                <w:szCs w:val="19"/>
              </w:rPr>
            </w:pPr>
            <w:r>
              <w:rPr>
                <w:rFonts w:cs="Arial"/>
                <w:szCs w:val="19"/>
              </w:rPr>
              <w:t>–0,7</w:t>
            </w:r>
          </w:p>
        </w:tc>
      </w:tr>
      <w:tr w:rsidR="0010041F" w:rsidRPr="000914C4" w:rsidTr="00AF54E0">
        <w:trPr>
          <w:trHeight w:val="170"/>
        </w:trPr>
        <w:tc>
          <w:tcPr>
            <w:tcW w:w="2019" w:type="dxa"/>
            <w:tcBorders>
              <w:top w:val="single" w:sz="4" w:space="0" w:color="001D77"/>
              <w:left w:val="nil"/>
              <w:bottom w:val="single" w:sz="4" w:space="0" w:color="001D77"/>
              <w:right w:val="single" w:sz="4" w:space="0" w:color="001D77"/>
            </w:tcBorders>
          </w:tcPr>
          <w:p w:rsidR="0010041F" w:rsidRPr="000914C4" w:rsidRDefault="0010041F" w:rsidP="0010041F">
            <w:pPr>
              <w:pStyle w:val="Boczektabeli2"/>
            </w:pPr>
            <w:r w:rsidRPr="000914C4">
              <w:t>45–54</w:t>
            </w:r>
            <w:r w:rsidRPr="000914C4">
              <w:tab/>
            </w:r>
          </w:p>
        </w:tc>
        <w:tc>
          <w:tcPr>
            <w:tcW w:w="1954"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10041F" w:rsidP="0010041F">
            <w:pPr>
              <w:spacing w:line="240" w:lineRule="exact"/>
              <w:jc w:val="right"/>
              <w:rPr>
                <w:szCs w:val="19"/>
                <w:shd w:val="clear" w:color="auto" w:fill="FFFFFF"/>
              </w:rPr>
            </w:pPr>
            <w:r w:rsidRPr="000914C4">
              <w:rPr>
                <w:rFonts w:cs="Arial"/>
                <w:szCs w:val="19"/>
              </w:rPr>
              <w:t xml:space="preserve">              88,8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center"/>
          </w:tcPr>
          <w:p w:rsidR="0010041F" w:rsidRPr="000914C4" w:rsidRDefault="003771B5" w:rsidP="0010041F">
            <w:pPr>
              <w:spacing w:line="240" w:lineRule="exact"/>
              <w:jc w:val="right"/>
              <w:rPr>
                <w:szCs w:val="19"/>
                <w:shd w:val="clear" w:color="auto" w:fill="FFFFFF"/>
              </w:rPr>
            </w:pPr>
            <w:r>
              <w:rPr>
                <w:rFonts w:cs="Arial"/>
                <w:szCs w:val="19"/>
              </w:rPr>
              <w:t xml:space="preserve">              89,3</w:t>
            </w:r>
            <w:r w:rsidR="0010041F" w:rsidRPr="000914C4">
              <w:rPr>
                <w:rFonts w:cs="Arial"/>
                <w:szCs w:val="19"/>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center"/>
          </w:tcPr>
          <w:p w:rsidR="0010041F" w:rsidRPr="000914C4" w:rsidRDefault="003771B5" w:rsidP="0010041F">
            <w:pPr>
              <w:spacing w:line="240" w:lineRule="exact"/>
              <w:jc w:val="right"/>
              <w:rPr>
                <w:szCs w:val="19"/>
                <w:shd w:val="clear" w:color="auto" w:fill="FFFFFF"/>
              </w:rPr>
            </w:pPr>
            <w:r>
              <w:rPr>
                <w:szCs w:val="19"/>
                <w:shd w:val="clear" w:color="auto" w:fill="FFFFFF"/>
              </w:rPr>
              <w:t xml:space="preserve">  0,5</w:t>
            </w:r>
          </w:p>
        </w:tc>
      </w:tr>
      <w:tr w:rsidR="0010041F" w:rsidRPr="000914C4" w:rsidTr="00AF54E0">
        <w:trPr>
          <w:trHeight w:val="170"/>
        </w:trPr>
        <w:tc>
          <w:tcPr>
            <w:tcW w:w="2019" w:type="dxa"/>
            <w:tcBorders>
              <w:top w:val="single" w:sz="4" w:space="0" w:color="001D77"/>
              <w:left w:val="nil"/>
              <w:bottom w:val="nil"/>
              <w:right w:val="single" w:sz="4" w:space="0" w:color="001D77"/>
            </w:tcBorders>
          </w:tcPr>
          <w:p w:rsidR="0010041F" w:rsidRPr="000914C4" w:rsidRDefault="0010041F" w:rsidP="00091E87">
            <w:pPr>
              <w:pStyle w:val="Boczektabeli2"/>
            </w:pPr>
            <w:r w:rsidRPr="000914C4">
              <w:t xml:space="preserve">55–89 </w:t>
            </w:r>
            <w:proofErr w:type="spellStart"/>
            <w:r w:rsidR="00091E87">
              <w:t>years</w:t>
            </w:r>
            <w:proofErr w:type="spellEnd"/>
          </w:p>
        </w:tc>
        <w:tc>
          <w:tcPr>
            <w:tcW w:w="1954" w:type="dxa"/>
            <w:tcBorders>
              <w:top w:val="single" w:sz="4" w:space="0" w:color="212492"/>
              <w:left w:val="single" w:sz="4" w:space="0" w:color="212492"/>
              <w:bottom w:val="nil"/>
              <w:right w:val="single" w:sz="4" w:space="0" w:color="212492"/>
            </w:tcBorders>
            <w:shd w:val="clear" w:color="auto" w:fill="auto"/>
            <w:vAlign w:val="center"/>
          </w:tcPr>
          <w:p w:rsidR="0010041F" w:rsidRPr="000914C4" w:rsidRDefault="0010041F" w:rsidP="0010041F">
            <w:pPr>
              <w:spacing w:line="240" w:lineRule="exact"/>
              <w:jc w:val="right"/>
              <w:rPr>
                <w:rFonts w:cs="Arial"/>
                <w:szCs w:val="19"/>
              </w:rPr>
            </w:pPr>
            <w:r w:rsidRPr="000914C4">
              <w:rPr>
                <w:rFonts w:cs="Arial"/>
                <w:szCs w:val="19"/>
              </w:rPr>
              <w:t xml:space="preserve">              30,6  </w:t>
            </w:r>
          </w:p>
        </w:tc>
        <w:tc>
          <w:tcPr>
            <w:tcW w:w="1873" w:type="dxa"/>
            <w:tcBorders>
              <w:top w:val="single" w:sz="4" w:space="0" w:color="212492"/>
              <w:left w:val="single" w:sz="4" w:space="0" w:color="212492"/>
              <w:bottom w:val="nil"/>
              <w:right w:val="single" w:sz="4" w:space="0" w:color="212492"/>
            </w:tcBorders>
            <w:shd w:val="clear" w:color="auto" w:fill="auto"/>
            <w:vAlign w:val="center"/>
          </w:tcPr>
          <w:p w:rsidR="0010041F" w:rsidRPr="000914C4" w:rsidRDefault="003771B5" w:rsidP="0010041F">
            <w:pPr>
              <w:spacing w:line="240" w:lineRule="exact"/>
              <w:jc w:val="right"/>
              <w:rPr>
                <w:rFonts w:cs="Arial"/>
                <w:szCs w:val="19"/>
              </w:rPr>
            </w:pPr>
            <w:r>
              <w:rPr>
                <w:rFonts w:cs="Arial"/>
                <w:szCs w:val="19"/>
              </w:rPr>
              <w:t xml:space="preserve">              29,7</w:t>
            </w:r>
            <w:r w:rsidR="0010041F" w:rsidRPr="000914C4">
              <w:rPr>
                <w:rFonts w:cs="Arial"/>
                <w:szCs w:val="19"/>
              </w:rPr>
              <w:t xml:space="preserve">  </w:t>
            </w:r>
          </w:p>
        </w:tc>
        <w:tc>
          <w:tcPr>
            <w:tcW w:w="2142" w:type="dxa"/>
            <w:tcBorders>
              <w:top w:val="single" w:sz="4" w:space="0" w:color="212492"/>
              <w:left w:val="single" w:sz="4" w:space="0" w:color="212492"/>
              <w:bottom w:val="nil"/>
              <w:right w:val="nil"/>
            </w:tcBorders>
            <w:shd w:val="clear" w:color="auto" w:fill="auto"/>
            <w:vAlign w:val="center"/>
          </w:tcPr>
          <w:p w:rsidR="0010041F" w:rsidRPr="000914C4" w:rsidRDefault="003771B5" w:rsidP="0010041F">
            <w:pPr>
              <w:spacing w:line="240" w:lineRule="exact"/>
              <w:jc w:val="right"/>
              <w:rPr>
                <w:szCs w:val="19"/>
                <w:shd w:val="clear" w:color="auto" w:fill="FFFFFF"/>
              </w:rPr>
            </w:pPr>
            <w:r>
              <w:rPr>
                <w:szCs w:val="19"/>
                <w:shd w:val="clear" w:color="auto" w:fill="FFFFFF"/>
              </w:rPr>
              <w:t>–0,9</w:t>
            </w:r>
          </w:p>
        </w:tc>
      </w:tr>
      <w:tr w:rsidR="0010041F" w:rsidRPr="000914C4" w:rsidTr="00B00DE3">
        <w:tc>
          <w:tcPr>
            <w:tcW w:w="7988" w:type="dxa"/>
            <w:gridSpan w:val="4"/>
            <w:tcBorders>
              <w:top w:val="nil"/>
              <w:left w:val="nil"/>
              <w:bottom w:val="nil"/>
              <w:right w:val="nil"/>
            </w:tcBorders>
            <w:shd w:val="clear" w:color="auto" w:fill="auto"/>
            <w:vAlign w:val="center"/>
          </w:tcPr>
          <w:p w:rsidR="0010041F" w:rsidRPr="000914C4" w:rsidRDefault="00091E87" w:rsidP="0010041F">
            <w:pPr>
              <w:spacing w:line="240" w:lineRule="exact"/>
              <w:jc w:val="center"/>
              <w:rPr>
                <w:b/>
                <w:szCs w:val="19"/>
                <w:shd w:val="clear" w:color="auto" w:fill="FFFFFF"/>
              </w:rPr>
            </w:pPr>
            <w:r>
              <w:rPr>
                <w:b/>
                <w:szCs w:val="19"/>
                <w:shd w:val="clear" w:color="auto" w:fill="FFFFFF"/>
              </w:rPr>
              <w:t>UNEPMPLOYMENT RATE</w:t>
            </w:r>
          </w:p>
        </w:tc>
      </w:tr>
      <w:tr w:rsidR="00091E87" w:rsidRPr="000914C4" w:rsidTr="00AF54E0">
        <w:trPr>
          <w:trHeight w:val="170"/>
        </w:trPr>
        <w:tc>
          <w:tcPr>
            <w:tcW w:w="2019" w:type="dxa"/>
            <w:tcBorders>
              <w:top w:val="nil"/>
              <w:left w:val="nil"/>
              <w:bottom w:val="single" w:sz="4" w:space="0" w:color="001D77"/>
              <w:right w:val="single" w:sz="4" w:space="0" w:color="001D77"/>
            </w:tcBorders>
          </w:tcPr>
          <w:p w:rsidR="00091E87" w:rsidRPr="000914C4" w:rsidRDefault="00091E87" w:rsidP="00091E87">
            <w:pPr>
              <w:pStyle w:val="Boczektabeli"/>
            </w:pPr>
            <w:r w:rsidRPr="00BA45F8">
              <w:t>TOTAL</w:t>
            </w:r>
            <w:r w:rsidRPr="00BA45F8">
              <w:tab/>
            </w:r>
          </w:p>
        </w:tc>
        <w:tc>
          <w:tcPr>
            <w:tcW w:w="1954" w:type="dxa"/>
            <w:tcBorders>
              <w:top w:val="nil"/>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b/>
                <w:szCs w:val="19"/>
                <w:shd w:val="clear" w:color="auto" w:fill="FFFFFF"/>
              </w:rPr>
            </w:pPr>
            <w:r w:rsidRPr="000914C4">
              <w:rPr>
                <w:rFonts w:cs="Arial"/>
                <w:b/>
                <w:szCs w:val="19"/>
              </w:rPr>
              <w:t xml:space="preserve">               2,3    </w:t>
            </w:r>
          </w:p>
        </w:tc>
        <w:tc>
          <w:tcPr>
            <w:tcW w:w="1873" w:type="dxa"/>
            <w:tcBorders>
              <w:top w:val="nil"/>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b/>
                <w:szCs w:val="19"/>
                <w:shd w:val="clear" w:color="auto" w:fill="FFFFFF"/>
              </w:rPr>
            </w:pPr>
            <w:r>
              <w:rPr>
                <w:rFonts w:cs="Arial"/>
                <w:b/>
                <w:szCs w:val="19"/>
              </w:rPr>
              <w:t xml:space="preserve">               3,0</w:t>
            </w:r>
            <w:r w:rsidRPr="000914C4">
              <w:rPr>
                <w:rFonts w:cs="Arial"/>
                <w:b/>
                <w:szCs w:val="19"/>
              </w:rPr>
              <w:t xml:space="preserve">    </w:t>
            </w:r>
          </w:p>
        </w:tc>
        <w:tc>
          <w:tcPr>
            <w:tcW w:w="2142" w:type="dxa"/>
            <w:tcBorders>
              <w:top w:val="nil"/>
              <w:left w:val="single" w:sz="4" w:space="0" w:color="001D77"/>
              <w:bottom w:val="single" w:sz="4" w:space="0" w:color="001D77"/>
              <w:right w:val="nil"/>
            </w:tcBorders>
            <w:shd w:val="clear" w:color="auto" w:fill="auto"/>
            <w:vAlign w:val="center"/>
          </w:tcPr>
          <w:p w:rsidR="00091E87" w:rsidRPr="000914C4" w:rsidRDefault="00091E87" w:rsidP="00091E87">
            <w:pPr>
              <w:spacing w:line="240" w:lineRule="exact"/>
              <w:jc w:val="right"/>
              <w:rPr>
                <w:b/>
                <w:szCs w:val="19"/>
                <w:shd w:val="clear" w:color="auto" w:fill="FFFFFF"/>
              </w:rPr>
            </w:pPr>
            <w:r>
              <w:rPr>
                <w:rFonts w:cs="Arial"/>
                <w:b/>
                <w:szCs w:val="19"/>
              </w:rPr>
              <w:t xml:space="preserve">  0,7</w:t>
            </w:r>
          </w:p>
        </w:tc>
      </w:tr>
      <w:tr w:rsidR="00091E87" w:rsidRPr="000914C4" w:rsidTr="00AF54E0">
        <w:trPr>
          <w:trHeight w:val="170"/>
        </w:trPr>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BA45F8">
              <w:t xml:space="preserve">15–24 </w:t>
            </w:r>
            <w:proofErr w:type="spellStart"/>
            <w:r w:rsidRPr="00BA45F8">
              <w:t>years</w:t>
            </w:r>
            <w:proofErr w:type="spellEnd"/>
            <w:r w:rsidRPr="00BA45F8">
              <w:tab/>
            </w:r>
          </w:p>
        </w:tc>
        <w:tc>
          <w:tcPr>
            <w:tcW w:w="1954"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sidRPr="000914C4">
              <w:rPr>
                <w:rFonts w:cs="Arial"/>
                <w:szCs w:val="19"/>
              </w:rPr>
              <w:t xml:space="preserve">          9,1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Pr>
                <w:rFonts w:cs="Arial"/>
                <w:szCs w:val="19"/>
              </w:rPr>
              <w:t xml:space="preserve">          11,0</w:t>
            </w:r>
            <w:r w:rsidRPr="000914C4">
              <w:rPr>
                <w:rFonts w:cs="Arial"/>
                <w:szCs w:val="19"/>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spacing w:line="240" w:lineRule="exact"/>
              <w:jc w:val="right"/>
              <w:rPr>
                <w:szCs w:val="19"/>
                <w:shd w:val="clear" w:color="auto" w:fill="FFFFFF"/>
              </w:rPr>
            </w:pPr>
            <w:r>
              <w:rPr>
                <w:szCs w:val="19"/>
                <w:shd w:val="clear" w:color="auto" w:fill="FFFFFF"/>
              </w:rPr>
              <w:t xml:space="preserve">  </w:t>
            </w:r>
            <w:r w:rsidRPr="000914C4">
              <w:rPr>
                <w:szCs w:val="19"/>
                <w:shd w:val="clear" w:color="auto" w:fill="FFFFFF"/>
              </w:rPr>
              <w:t>1,9</w:t>
            </w:r>
          </w:p>
        </w:tc>
      </w:tr>
      <w:tr w:rsidR="00091E87" w:rsidRPr="000914C4" w:rsidTr="00AF54E0">
        <w:trPr>
          <w:trHeight w:val="170"/>
        </w:trPr>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0914C4">
              <w:t>25–34</w:t>
            </w:r>
            <w:r w:rsidRPr="000914C4">
              <w:tab/>
            </w:r>
          </w:p>
        </w:tc>
        <w:tc>
          <w:tcPr>
            <w:tcW w:w="1954"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sidRPr="000914C4">
              <w:rPr>
                <w:rFonts w:cs="Arial"/>
                <w:szCs w:val="19"/>
              </w:rPr>
              <w:t xml:space="preserve">                3,0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Pr>
                <w:rFonts w:cs="Arial"/>
                <w:szCs w:val="19"/>
              </w:rPr>
              <w:t xml:space="preserve">                3,1</w:t>
            </w:r>
            <w:r w:rsidRPr="000914C4">
              <w:rPr>
                <w:rFonts w:cs="Arial"/>
                <w:szCs w:val="19"/>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spacing w:line="240" w:lineRule="exact"/>
              <w:jc w:val="right"/>
              <w:rPr>
                <w:szCs w:val="19"/>
                <w:shd w:val="clear" w:color="auto" w:fill="FFFFFF"/>
              </w:rPr>
            </w:pPr>
            <w:r>
              <w:rPr>
                <w:szCs w:val="19"/>
                <w:shd w:val="clear" w:color="auto" w:fill="FFFFFF"/>
              </w:rPr>
              <w:t xml:space="preserve">  0,1</w:t>
            </w:r>
          </w:p>
        </w:tc>
      </w:tr>
      <w:tr w:rsidR="00091E87" w:rsidRPr="000914C4" w:rsidTr="00AF54E0">
        <w:trPr>
          <w:trHeight w:val="170"/>
        </w:trPr>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0914C4">
              <w:t>35–44</w:t>
            </w:r>
            <w:r w:rsidRPr="000914C4">
              <w:tab/>
            </w:r>
          </w:p>
        </w:tc>
        <w:tc>
          <w:tcPr>
            <w:tcW w:w="1954"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sidRPr="000914C4">
              <w:rPr>
                <w:rFonts w:cs="Arial"/>
                <w:szCs w:val="19"/>
              </w:rPr>
              <w:t xml:space="preserve">               1,8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szCs w:val="19"/>
                <w:shd w:val="clear" w:color="auto" w:fill="FFFFFF"/>
              </w:rPr>
            </w:pPr>
            <w:r>
              <w:rPr>
                <w:rFonts w:cs="Arial"/>
                <w:szCs w:val="19"/>
              </w:rPr>
              <w:t xml:space="preserve">               2,2</w:t>
            </w:r>
            <w:r w:rsidRPr="000914C4">
              <w:rPr>
                <w:rFonts w:cs="Arial"/>
                <w:szCs w:val="19"/>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spacing w:line="240" w:lineRule="exact"/>
              <w:jc w:val="right"/>
              <w:rPr>
                <w:szCs w:val="19"/>
                <w:shd w:val="clear" w:color="auto" w:fill="FFFFFF"/>
              </w:rPr>
            </w:pPr>
            <w:r>
              <w:rPr>
                <w:rFonts w:cs="Arial"/>
                <w:szCs w:val="19"/>
              </w:rPr>
              <w:t>0,4</w:t>
            </w:r>
          </w:p>
        </w:tc>
      </w:tr>
      <w:tr w:rsidR="00091E87" w:rsidRPr="000914C4" w:rsidTr="00AF54E0">
        <w:trPr>
          <w:trHeight w:val="170"/>
        </w:trPr>
        <w:tc>
          <w:tcPr>
            <w:tcW w:w="2019" w:type="dxa"/>
            <w:tcBorders>
              <w:top w:val="single" w:sz="4" w:space="0" w:color="001D77"/>
              <w:left w:val="nil"/>
              <w:bottom w:val="single" w:sz="4" w:space="0" w:color="001D77"/>
              <w:right w:val="single" w:sz="4" w:space="0" w:color="001D77"/>
            </w:tcBorders>
          </w:tcPr>
          <w:p w:rsidR="00091E87" w:rsidRPr="000914C4" w:rsidRDefault="00091E87" w:rsidP="00091E87">
            <w:pPr>
              <w:pStyle w:val="Boczektabeli2"/>
            </w:pPr>
            <w:r w:rsidRPr="000914C4">
              <w:t>45–54</w:t>
            </w:r>
            <w:r w:rsidRPr="000914C4">
              <w:tab/>
            </w:r>
          </w:p>
        </w:tc>
        <w:tc>
          <w:tcPr>
            <w:tcW w:w="1954"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rFonts w:cs="Arial"/>
                <w:szCs w:val="19"/>
              </w:rPr>
            </w:pPr>
            <w:r w:rsidRPr="000914C4">
              <w:rPr>
                <w:rFonts w:cs="Arial"/>
                <w:szCs w:val="19"/>
              </w:rPr>
              <w:t xml:space="preserve">             </w:t>
            </w:r>
            <w:r w:rsidRPr="000914C4">
              <w:rPr>
                <w:szCs w:val="19"/>
              </w:rPr>
              <w:t>.</w:t>
            </w:r>
            <w:r w:rsidRPr="000914C4">
              <w:rPr>
                <w:rFonts w:cs="Arial"/>
                <w:szCs w:val="19"/>
              </w:rPr>
              <w:t xml:space="preserve">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center"/>
          </w:tcPr>
          <w:p w:rsidR="00091E87" w:rsidRPr="000914C4" w:rsidRDefault="00091E87" w:rsidP="00091E87">
            <w:pPr>
              <w:spacing w:line="240" w:lineRule="exact"/>
              <w:jc w:val="right"/>
              <w:rPr>
                <w:rFonts w:cs="Arial"/>
                <w:szCs w:val="19"/>
              </w:rPr>
            </w:pPr>
            <w:r w:rsidRPr="000914C4">
              <w:rPr>
                <w:rFonts w:cs="Arial"/>
                <w:szCs w:val="19"/>
              </w:rPr>
              <w:t xml:space="preserve">             </w:t>
            </w:r>
            <w:r>
              <w:rPr>
                <w:szCs w:val="19"/>
              </w:rPr>
              <w:t>2,6</w:t>
            </w:r>
            <w:r w:rsidRPr="000914C4">
              <w:rPr>
                <w:rFonts w:cs="Arial"/>
                <w:szCs w:val="19"/>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center"/>
          </w:tcPr>
          <w:p w:rsidR="00091E87" w:rsidRPr="000914C4" w:rsidRDefault="00091E87" w:rsidP="00091E87">
            <w:pPr>
              <w:spacing w:line="240" w:lineRule="exact"/>
              <w:jc w:val="right"/>
              <w:rPr>
                <w:rFonts w:cs="Arial"/>
                <w:szCs w:val="19"/>
              </w:rPr>
            </w:pPr>
            <w:r w:rsidRPr="000914C4">
              <w:rPr>
                <w:rFonts w:cs="Arial"/>
                <w:szCs w:val="19"/>
              </w:rPr>
              <w:t xml:space="preserve">   </w:t>
            </w:r>
            <w:r w:rsidRPr="000914C4">
              <w:rPr>
                <w:szCs w:val="19"/>
              </w:rPr>
              <w:t>.</w:t>
            </w:r>
          </w:p>
        </w:tc>
      </w:tr>
      <w:tr w:rsidR="00091E87" w:rsidRPr="000914C4" w:rsidTr="00AF54E0">
        <w:trPr>
          <w:trHeight w:val="170"/>
        </w:trPr>
        <w:tc>
          <w:tcPr>
            <w:tcW w:w="2019" w:type="dxa"/>
            <w:tcBorders>
              <w:top w:val="single" w:sz="4" w:space="0" w:color="001D77"/>
              <w:left w:val="nil"/>
              <w:bottom w:val="nil"/>
              <w:right w:val="single" w:sz="4" w:space="0" w:color="001D77"/>
            </w:tcBorders>
          </w:tcPr>
          <w:p w:rsidR="00091E87" w:rsidRPr="000914C4" w:rsidRDefault="00091E87" w:rsidP="00091E87">
            <w:pPr>
              <w:pStyle w:val="Boczektabeli2"/>
            </w:pPr>
            <w:r w:rsidRPr="000914C4">
              <w:t xml:space="preserve">55–89 </w:t>
            </w:r>
            <w:proofErr w:type="spellStart"/>
            <w:r>
              <w:t>years</w:t>
            </w:r>
            <w:proofErr w:type="spellEnd"/>
          </w:p>
        </w:tc>
        <w:tc>
          <w:tcPr>
            <w:tcW w:w="1954" w:type="dxa"/>
            <w:tcBorders>
              <w:top w:val="single" w:sz="4" w:space="0" w:color="001D77"/>
              <w:left w:val="single" w:sz="4" w:space="0" w:color="001D77"/>
              <w:bottom w:val="nil"/>
              <w:right w:val="single" w:sz="4" w:space="0" w:color="001D77"/>
            </w:tcBorders>
            <w:shd w:val="clear" w:color="auto" w:fill="auto"/>
            <w:vAlign w:val="center"/>
          </w:tcPr>
          <w:p w:rsidR="00091E87" w:rsidRPr="000914C4" w:rsidRDefault="00091E87" w:rsidP="00091E87">
            <w:pPr>
              <w:spacing w:line="240" w:lineRule="exact"/>
              <w:jc w:val="right"/>
              <w:rPr>
                <w:rFonts w:cs="Arial"/>
                <w:szCs w:val="19"/>
              </w:rPr>
            </w:pPr>
            <w:r w:rsidRPr="000914C4">
              <w:rPr>
                <w:rFonts w:cs="Arial"/>
                <w:szCs w:val="19"/>
              </w:rPr>
              <w:t xml:space="preserve">              </w:t>
            </w:r>
            <w:r w:rsidRPr="000914C4">
              <w:rPr>
                <w:szCs w:val="19"/>
              </w:rPr>
              <w:t>.</w:t>
            </w:r>
            <w:r w:rsidRPr="000914C4">
              <w:rPr>
                <w:rFonts w:cs="Arial"/>
                <w:szCs w:val="19"/>
              </w:rPr>
              <w:t xml:space="preserve">  </w:t>
            </w:r>
          </w:p>
        </w:tc>
        <w:tc>
          <w:tcPr>
            <w:tcW w:w="1873" w:type="dxa"/>
            <w:tcBorders>
              <w:top w:val="single" w:sz="4" w:space="0" w:color="001D77"/>
              <w:left w:val="single" w:sz="4" w:space="0" w:color="001D77"/>
              <w:bottom w:val="nil"/>
              <w:right w:val="single" w:sz="4" w:space="0" w:color="001D77"/>
            </w:tcBorders>
            <w:shd w:val="clear" w:color="auto" w:fill="auto"/>
            <w:vAlign w:val="center"/>
          </w:tcPr>
          <w:p w:rsidR="00091E87" w:rsidRPr="000914C4" w:rsidRDefault="00091E87" w:rsidP="00091E87">
            <w:pPr>
              <w:spacing w:line="240" w:lineRule="exact"/>
              <w:jc w:val="right"/>
              <w:rPr>
                <w:rFonts w:cs="Arial"/>
                <w:szCs w:val="19"/>
              </w:rPr>
            </w:pPr>
            <w:r w:rsidRPr="000914C4">
              <w:rPr>
                <w:rFonts w:cs="Arial"/>
                <w:szCs w:val="19"/>
              </w:rPr>
              <w:t xml:space="preserve">              </w:t>
            </w:r>
            <w:r>
              <w:rPr>
                <w:szCs w:val="19"/>
              </w:rPr>
              <w:t>2,1</w:t>
            </w:r>
            <w:r w:rsidRPr="000914C4">
              <w:rPr>
                <w:rFonts w:cs="Arial"/>
                <w:szCs w:val="19"/>
              </w:rPr>
              <w:t xml:space="preserve">  </w:t>
            </w:r>
          </w:p>
        </w:tc>
        <w:tc>
          <w:tcPr>
            <w:tcW w:w="2142" w:type="dxa"/>
            <w:tcBorders>
              <w:top w:val="single" w:sz="4" w:space="0" w:color="001D77"/>
              <w:left w:val="single" w:sz="4" w:space="0" w:color="001D77"/>
              <w:bottom w:val="nil"/>
              <w:right w:val="nil"/>
            </w:tcBorders>
            <w:shd w:val="clear" w:color="auto" w:fill="auto"/>
            <w:vAlign w:val="center"/>
          </w:tcPr>
          <w:p w:rsidR="00091E87" w:rsidRPr="000914C4" w:rsidRDefault="00091E87" w:rsidP="00091E87">
            <w:pPr>
              <w:spacing w:line="240" w:lineRule="exact"/>
              <w:jc w:val="right"/>
              <w:rPr>
                <w:rFonts w:cs="Arial"/>
                <w:szCs w:val="19"/>
              </w:rPr>
            </w:pPr>
            <w:r w:rsidRPr="000914C4">
              <w:rPr>
                <w:szCs w:val="19"/>
                <w:shd w:val="clear" w:color="auto" w:fill="FFFFFF"/>
              </w:rPr>
              <w:t>.</w:t>
            </w:r>
          </w:p>
        </w:tc>
      </w:tr>
    </w:tbl>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864414" w:rsidRDefault="00864414" w:rsidP="00D139A5">
      <w:pPr>
        <w:pStyle w:val="tytutablicy"/>
        <w:rPr>
          <w:sz w:val="18"/>
          <w:szCs w:val="18"/>
          <w:shd w:val="clear" w:color="auto" w:fill="FFFFFF"/>
        </w:rPr>
      </w:pPr>
    </w:p>
    <w:p w:rsidR="00612F64" w:rsidRPr="00091E87" w:rsidRDefault="00612F64" w:rsidP="00D139A5">
      <w:pPr>
        <w:pStyle w:val="tytutablicy"/>
        <w:rPr>
          <w:shd w:val="clear" w:color="auto" w:fill="FFFFFF"/>
          <w:lang w:val="en-US"/>
        </w:rPr>
      </w:pPr>
      <w:r w:rsidRPr="00091E87">
        <w:rPr>
          <w:sz w:val="18"/>
          <w:szCs w:val="18"/>
          <w:shd w:val="clear" w:color="auto" w:fill="FFFFFF"/>
          <w:lang w:val="en-US"/>
        </w:rPr>
        <w:lastRenderedPageBreak/>
        <w:t>T</w:t>
      </w:r>
      <w:r w:rsidRPr="00091E87">
        <w:rPr>
          <w:shd w:val="clear" w:color="auto" w:fill="FFFFFF"/>
          <w:lang w:val="en-US"/>
        </w:rPr>
        <w:t>abl</w:t>
      </w:r>
      <w:r w:rsidR="00091E87" w:rsidRPr="00091E87">
        <w:rPr>
          <w:shd w:val="clear" w:color="auto" w:fill="FFFFFF"/>
          <w:lang w:val="en-US"/>
        </w:rPr>
        <w:t>e</w:t>
      </w:r>
      <w:r w:rsidRPr="00091E87">
        <w:rPr>
          <w:shd w:val="clear" w:color="auto" w:fill="FFFFFF"/>
          <w:lang w:val="en-US"/>
        </w:rPr>
        <w:t xml:space="preserve"> 4. </w:t>
      </w:r>
      <w:r w:rsidR="00091E87" w:rsidRPr="00091E87">
        <w:rPr>
          <w:shd w:val="clear" w:color="auto" w:fill="FFFFFF"/>
          <w:lang w:val="en-US"/>
        </w:rPr>
        <w:t>Employment rate and unemployment rate by level of education</w:t>
      </w:r>
      <w:r w:rsidR="00091E87" w:rsidRPr="00091E87" w:rsidDel="00091E87">
        <w:rPr>
          <w:shd w:val="clear" w:color="auto" w:fill="FFFFFF"/>
          <w:lang w:val="en-US"/>
        </w:rPr>
        <w:t xml:space="preserve"> </w:t>
      </w:r>
    </w:p>
    <w:p w:rsidR="00612F64" w:rsidRPr="00091E87" w:rsidRDefault="00612F64" w:rsidP="00E42EAE">
      <w:pPr>
        <w:spacing w:before="0" w:after="0" w:line="40" w:lineRule="exact"/>
        <w:rPr>
          <w:b/>
          <w:szCs w:val="19"/>
          <w:shd w:val="clear" w:color="auto" w:fill="FFFFFF"/>
          <w:lang w:val="en-US"/>
        </w:rPr>
      </w:pPr>
    </w:p>
    <w:tbl>
      <w:tblPr>
        <w:tblW w:w="5009" w:type="pct"/>
        <w:tblInd w:w="108" w:type="dxa"/>
        <w:tblBorders>
          <w:top w:val="single" w:sz="4" w:space="0" w:color="001D77"/>
          <w:bottom w:val="single" w:sz="4" w:space="0" w:color="001D77"/>
          <w:right w:val="single" w:sz="4" w:space="0" w:color="001D77"/>
          <w:insideH w:val="single" w:sz="4" w:space="0" w:color="001D77"/>
          <w:insideV w:val="single" w:sz="4" w:space="0" w:color="001D77"/>
        </w:tblBorders>
        <w:tblLook w:val="01E0" w:firstRow="1" w:lastRow="1" w:firstColumn="1" w:lastColumn="1" w:noHBand="0" w:noVBand="0"/>
        <w:tblCaption w:val="Tablica 4"/>
        <w:tblDescription w:val="Wskaźnik zatrudnienia i stopa bezrobocia według poziomu wykształcenia"/>
      </w:tblPr>
      <w:tblGrid>
        <w:gridCol w:w="2869"/>
        <w:gridCol w:w="1559"/>
        <w:gridCol w:w="1418"/>
        <w:gridCol w:w="2236"/>
      </w:tblGrid>
      <w:tr w:rsidR="0010041F" w:rsidRPr="00A064AE" w:rsidTr="0010041F">
        <w:trPr>
          <w:trHeight w:val="420"/>
        </w:trPr>
        <w:tc>
          <w:tcPr>
            <w:tcW w:w="2869" w:type="dxa"/>
            <w:vMerge w:val="restart"/>
            <w:tcBorders>
              <w:top w:val="nil"/>
            </w:tcBorders>
            <w:shd w:val="clear" w:color="auto" w:fill="auto"/>
            <w:vAlign w:val="center"/>
          </w:tcPr>
          <w:p w:rsidR="0010041F" w:rsidRPr="00A064AE" w:rsidRDefault="00091E87" w:rsidP="00AF54E0">
            <w:pPr>
              <w:pStyle w:val="Gwkatablicy"/>
            </w:pPr>
            <w:proofErr w:type="spellStart"/>
            <w:r>
              <w:t>Specification</w:t>
            </w:r>
            <w:proofErr w:type="spellEnd"/>
          </w:p>
        </w:tc>
        <w:tc>
          <w:tcPr>
            <w:tcW w:w="1559" w:type="dxa"/>
            <w:tcBorders>
              <w:top w:val="nil"/>
              <w:left w:val="single" w:sz="4" w:space="0" w:color="001D77"/>
              <w:bottom w:val="single" w:sz="4" w:space="0" w:color="001D77"/>
              <w:right w:val="nil"/>
            </w:tcBorders>
            <w:shd w:val="clear" w:color="auto" w:fill="auto"/>
            <w:vAlign w:val="center"/>
          </w:tcPr>
          <w:p w:rsidR="0010041F" w:rsidRPr="00A064AE" w:rsidRDefault="0010041F" w:rsidP="00AF54E0">
            <w:pPr>
              <w:pStyle w:val="Gwkatablicy"/>
            </w:pPr>
            <w:r w:rsidRPr="00A064AE">
              <w:t>2021</w:t>
            </w:r>
          </w:p>
        </w:tc>
        <w:tc>
          <w:tcPr>
            <w:tcW w:w="3654" w:type="dxa"/>
            <w:gridSpan w:val="2"/>
            <w:tcBorders>
              <w:top w:val="nil"/>
              <w:left w:val="single" w:sz="4" w:space="0" w:color="001D77"/>
              <w:bottom w:val="single" w:sz="4" w:space="0" w:color="001D77"/>
              <w:right w:val="nil"/>
            </w:tcBorders>
            <w:shd w:val="clear" w:color="auto" w:fill="auto"/>
            <w:vAlign w:val="center"/>
          </w:tcPr>
          <w:p w:rsidR="0010041F" w:rsidRPr="00A064AE" w:rsidRDefault="0010041F" w:rsidP="00AF54E0">
            <w:pPr>
              <w:pStyle w:val="Gwkatablicy"/>
            </w:pPr>
            <w:r>
              <w:t>2022</w:t>
            </w:r>
          </w:p>
        </w:tc>
      </w:tr>
      <w:tr w:rsidR="00612F64" w:rsidRPr="00A064AE" w:rsidTr="00B00DE3">
        <w:trPr>
          <w:trHeight w:val="420"/>
        </w:trPr>
        <w:tc>
          <w:tcPr>
            <w:tcW w:w="2869" w:type="dxa"/>
            <w:vMerge/>
            <w:shd w:val="clear" w:color="auto" w:fill="auto"/>
            <w:vAlign w:val="center"/>
          </w:tcPr>
          <w:p w:rsidR="00612F64" w:rsidRPr="00A064AE" w:rsidRDefault="00612F64" w:rsidP="00B00DE3">
            <w:pPr>
              <w:jc w:val="center"/>
              <w:rPr>
                <w:szCs w:val="19"/>
                <w:shd w:val="clear" w:color="auto" w:fill="FFFFFF"/>
              </w:rPr>
            </w:pPr>
          </w:p>
        </w:tc>
        <w:tc>
          <w:tcPr>
            <w:tcW w:w="1559" w:type="dxa"/>
            <w:tcBorders>
              <w:top w:val="nil"/>
              <w:left w:val="single" w:sz="4" w:space="0" w:color="001D77"/>
              <w:bottom w:val="single" w:sz="4" w:space="0" w:color="001D77"/>
              <w:right w:val="single" w:sz="4" w:space="0" w:color="001D77"/>
            </w:tcBorders>
            <w:shd w:val="clear" w:color="auto" w:fill="auto"/>
            <w:vAlign w:val="center"/>
          </w:tcPr>
          <w:p w:rsidR="00612F64" w:rsidRPr="00A064AE" w:rsidRDefault="00091E87" w:rsidP="00AF54E0">
            <w:pPr>
              <w:pStyle w:val="Gwkatablicy"/>
            </w:pPr>
            <w:r>
              <w:t>Q4</w:t>
            </w:r>
          </w:p>
        </w:tc>
        <w:tc>
          <w:tcPr>
            <w:tcW w:w="3654" w:type="dxa"/>
            <w:gridSpan w:val="2"/>
            <w:tcBorders>
              <w:top w:val="nil"/>
              <w:left w:val="single" w:sz="4" w:space="0" w:color="001D77"/>
              <w:bottom w:val="single" w:sz="4" w:space="0" w:color="001D77"/>
              <w:right w:val="nil"/>
            </w:tcBorders>
            <w:shd w:val="clear" w:color="auto" w:fill="auto"/>
            <w:vAlign w:val="center"/>
          </w:tcPr>
          <w:p w:rsidR="00612F64" w:rsidRPr="00A064AE" w:rsidRDefault="00091E87" w:rsidP="00AF54E0">
            <w:pPr>
              <w:pStyle w:val="Gwkatablicy"/>
            </w:pPr>
            <w:r>
              <w:t>Q1</w:t>
            </w:r>
          </w:p>
        </w:tc>
      </w:tr>
      <w:tr w:rsidR="008404A9" w:rsidRPr="002E58AF" w:rsidTr="004961CE">
        <w:trPr>
          <w:trHeight w:val="170"/>
        </w:trPr>
        <w:tc>
          <w:tcPr>
            <w:tcW w:w="2869" w:type="dxa"/>
            <w:vMerge/>
            <w:tcBorders>
              <w:bottom w:val="single" w:sz="4" w:space="0" w:color="001D77"/>
            </w:tcBorders>
            <w:shd w:val="clear" w:color="auto" w:fill="auto"/>
            <w:vAlign w:val="center"/>
          </w:tcPr>
          <w:p w:rsidR="008404A9" w:rsidRPr="00A064AE" w:rsidRDefault="008404A9" w:rsidP="008404A9">
            <w:pPr>
              <w:jc w:val="center"/>
              <w:rPr>
                <w:b/>
                <w:szCs w:val="19"/>
                <w:shd w:val="clear" w:color="auto" w:fill="FFFFFF"/>
              </w:rPr>
            </w:pPr>
          </w:p>
        </w:tc>
        <w:tc>
          <w:tcPr>
            <w:tcW w:w="2977" w:type="dxa"/>
            <w:gridSpan w:val="2"/>
            <w:tcBorders>
              <w:bottom w:val="single" w:sz="4" w:space="0" w:color="001D77"/>
            </w:tcBorders>
            <w:shd w:val="clear" w:color="auto" w:fill="auto"/>
            <w:vAlign w:val="center"/>
          </w:tcPr>
          <w:p w:rsidR="008404A9" w:rsidRPr="00A064AE" w:rsidRDefault="008404A9" w:rsidP="008404A9">
            <w:pPr>
              <w:pStyle w:val="Gwkatablicy"/>
            </w:pPr>
            <w:r>
              <w:t>in</w:t>
            </w:r>
            <w:r w:rsidRPr="00A064AE">
              <w:t xml:space="preserve"> %</w:t>
            </w:r>
          </w:p>
        </w:tc>
        <w:tc>
          <w:tcPr>
            <w:tcW w:w="2236" w:type="dxa"/>
            <w:tcBorders>
              <w:top w:val="single" w:sz="4" w:space="0" w:color="001D77"/>
              <w:left w:val="single" w:sz="4" w:space="0" w:color="001D77"/>
              <w:bottom w:val="single" w:sz="12" w:space="0" w:color="001D77"/>
              <w:right w:val="nil"/>
            </w:tcBorders>
            <w:shd w:val="clear" w:color="auto" w:fill="auto"/>
            <w:vAlign w:val="center"/>
          </w:tcPr>
          <w:p w:rsidR="008404A9" w:rsidRPr="008404A9" w:rsidRDefault="008404A9" w:rsidP="008404A9">
            <w:pPr>
              <w:pStyle w:val="Gwkatablicy"/>
              <w:rPr>
                <w:lang w:val="en-US"/>
              </w:rPr>
            </w:pPr>
            <w:r w:rsidRPr="00BA45F8">
              <w:rPr>
                <w:lang w:val="en-US"/>
              </w:rPr>
              <w:t xml:space="preserve">increase/decrease </w:t>
            </w:r>
            <w:r w:rsidRPr="00BA45F8">
              <w:rPr>
                <w:lang w:val="en-US"/>
              </w:rPr>
              <w:br/>
              <w:t>in pp compared to the previous period</w:t>
            </w:r>
          </w:p>
        </w:tc>
      </w:tr>
      <w:tr w:rsidR="00612F64" w:rsidRPr="00A064AE" w:rsidTr="003954D7">
        <w:trPr>
          <w:trHeight w:val="170"/>
        </w:trPr>
        <w:tc>
          <w:tcPr>
            <w:tcW w:w="8082" w:type="dxa"/>
            <w:gridSpan w:val="4"/>
            <w:tcBorders>
              <w:top w:val="single" w:sz="4" w:space="0" w:color="001D77"/>
              <w:bottom w:val="nil"/>
              <w:right w:val="nil"/>
            </w:tcBorders>
            <w:shd w:val="clear" w:color="auto" w:fill="auto"/>
            <w:vAlign w:val="center"/>
          </w:tcPr>
          <w:p w:rsidR="00612F64" w:rsidRPr="00A064AE" w:rsidRDefault="002112D5" w:rsidP="00612F64">
            <w:pPr>
              <w:spacing w:before="60" w:after="60"/>
              <w:jc w:val="center"/>
              <w:rPr>
                <w:b/>
                <w:szCs w:val="19"/>
                <w:shd w:val="clear" w:color="auto" w:fill="FFFFFF"/>
              </w:rPr>
            </w:pPr>
            <w:r>
              <w:rPr>
                <w:b/>
                <w:szCs w:val="19"/>
                <w:shd w:val="clear" w:color="auto" w:fill="FFFFFF"/>
              </w:rPr>
              <w:t>EMPLOYMENT RATE</w:t>
            </w:r>
          </w:p>
        </w:tc>
      </w:tr>
      <w:tr w:rsidR="002112D5" w:rsidRPr="00A064AE" w:rsidTr="00B00DE3">
        <w:trPr>
          <w:trHeight w:val="170"/>
        </w:trPr>
        <w:tc>
          <w:tcPr>
            <w:tcW w:w="2869" w:type="dxa"/>
            <w:tcBorders>
              <w:top w:val="nil"/>
              <w:right w:val="single" w:sz="4" w:space="0" w:color="212492"/>
            </w:tcBorders>
            <w:vAlign w:val="bottom"/>
          </w:tcPr>
          <w:p w:rsidR="002112D5" w:rsidRPr="002112D5" w:rsidRDefault="002112D5" w:rsidP="002112D5">
            <w:pPr>
              <w:pStyle w:val="Boczektabeli"/>
            </w:pPr>
            <w:r w:rsidRPr="002112D5">
              <w:t>TOTAL</w:t>
            </w:r>
            <w:r w:rsidRPr="002112D5">
              <w:tab/>
            </w:r>
          </w:p>
        </w:tc>
        <w:tc>
          <w:tcPr>
            <w:tcW w:w="1559" w:type="dxa"/>
            <w:tcBorders>
              <w:top w:val="nil"/>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b/>
                <w:szCs w:val="19"/>
                <w:shd w:val="clear" w:color="auto" w:fill="FFFFFF"/>
              </w:rPr>
            </w:pPr>
            <w:r w:rsidRPr="00864414">
              <w:rPr>
                <w:rFonts w:cs="Arial"/>
                <w:b/>
                <w:szCs w:val="19"/>
              </w:rPr>
              <w:t xml:space="preserve">              60,3    </w:t>
            </w:r>
          </w:p>
        </w:tc>
        <w:tc>
          <w:tcPr>
            <w:tcW w:w="1418" w:type="dxa"/>
            <w:tcBorders>
              <w:top w:val="nil"/>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b/>
                <w:szCs w:val="19"/>
                <w:shd w:val="clear" w:color="auto" w:fill="FFFFFF"/>
              </w:rPr>
            </w:pPr>
            <w:r w:rsidRPr="00864414">
              <w:rPr>
                <w:rFonts w:cs="Arial"/>
                <w:b/>
                <w:szCs w:val="19"/>
              </w:rPr>
              <w:t xml:space="preserve">              60,3    </w:t>
            </w:r>
          </w:p>
        </w:tc>
        <w:tc>
          <w:tcPr>
            <w:tcW w:w="2236" w:type="dxa"/>
            <w:tcBorders>
              <w:top w:val="nil"/>
              <w:left w:val="single" w:sz="4" w:space="0" w:color="212492"/>
              <w:bottom w:val="single" w:sz="4" w:space="0" w:color="212492"/>
              <w:right w:val="nil"/>
            </w:tcBorders>
            <w:shd w:val="clear" w:color="auto" w:fill="auto"/>
            <w:vAlign w:val="center"/>
          </w:tcPr>
          <w:p w:rsidR="002112D5" w:rsidRPr="00864414" w:rsidRDefault="002112D5" w:rsidP="002112D5">
            <w:pPr>
              <w:jc w:val="right"/>
              <w:rPr>
                <w:b/>
                <w:szCs w:val="19"/>
                <w:shd w:val="clear" w:color="auto" w:fill="FFFFFF"/>
              </w:rPr>
            </w:pPr>
            <w:r w:rsidRPr="00864414">
              <w:rPr>
                <w:b/>
                <w:szCs w:val="19"/>
                <w:shd w:val="clear" w:color="auto" w:fill="FFFFFF"/>
              </w:rPr>
              <w:t xml:space="preserve">  –</w:t>
            </w:r>
          </w:p>
        </w:tc>
      </w:tr>
      <w:tr w:rsidR="002112D5" w:rsidRPr="00A064AE" w:rsidTr="00B00DE3">
        <w:trPr>
          <w:trHeight w:val="170"/>
        </w:trPr>
        <w:tc>
          <w:tcPr>
            <w:tcW w:w="2869" w:type="dxa"/>
            <w:tcBorders>
              <w:right w:val="single" w:sz="4" w:space="0" w:color="212492"/>
            </w:tcBorders>
            <w:vAlign w:val="bottom"/>
          </w:tcPr>
          <w:p w:rsidR="002112D5" w:rsidRPr="002112D5" w:rsidRDefault="002112D5" w:rsidP="002112D5">
            <w:pPr>
              <w:pStyle w:val="Boczektabeli2"/>
            </w:pPr>
            <w:proofErr w:type="spellStart"/>
            <w:r w:rsidRPr="002112D5">
              <w:t>Higher</w:t>
            </w:r>
            <w:proofErr w:type="spellEnd"/>
            <w:r w:rsidRPr="002112D5">
              <w:tab/>
            </w:r>
          </w:p>
        </w:tc>
        <w:tc>
          <w:tcPr>
            <w:tcW w:w="1559"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rFonts w:cs="Arial"/>
                <w:szCs w:val="19"/>
              </w:rPr>
              <w:t xml:space="preserve">              82,0    </w:t>
            </w:r>
          </w:p>
        </w:tc>
        <w:tc>
          <w:tcPr>
            <w:tcW w:w="1418"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rFonts w:cs="Arial"/>
                <w:szCs w:val="19"/>
              </w:rPr>
              <w:t xml:space="preserve">              81,8    </w:t>
            </w:r>
          </w:p>
        </w:tc>
        <w:tc>
          <w:tcPr>
            <w:tcW w:w="2236" w:type="dxa"/>
            <w:tcBorders>
              <w:top w:val="single" w:sz="4" w:space="0" w:color="212492"/>
              <w:left w:val="single" w:sz="4" w:space="0" w:color="212492"/>
              <w:bottom w:val="single" w:sz="4" w:space="0" w:color="212492"/>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–0,2</w:t>
            </w:r>
          </w:p>
        </w:tc>
      </w:tr>
      <w:tr w:rsidR="002112D5" w:rsidRPr="00A064AE" w:rsidTr="00B00DE3">
        <w:trPr>
          <w:trHeight w:val="170"/>
        </w:trPr>
        <w:tc>
          <w:tcPr>
            <w:tcW w:w="2869" w:type="dxa"/>
            <w:tcBorders>
              <w:right w:val="single" w:sz="4" w:space="0" w:color="212492"/>
            </w:tcBorders>
            <w:vAlign w:val="bottom"/>
          </w:tcPr>
          <w:p w:rsidR="002112D5" w:rsidRPr="002112D5" w:rsidRDefault="002112D5" w:rsidP="002112D5">
            <w:pPr>
              <w:pStyle w:val="Boczektabeli2"/>
              <w:rPr>
                <w:lang w:val="en-US"/>
              </w:rPr>
            </w:pPr>
            <w:r w:rsidRPr="002112D5">
              <w:rPr>
                <w:lang w:val="en-US"/>
              </w:rPr>
              <w:t xml:space="preserve">Post-secondary and vocational secondary </w:t>
            </w:r>
          </w:p>
        </w:tc>
        <w:tc>
          <w:tcPr>
            <w:tcW w:w="1559"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57,8</w:t>
            </w:r>
          </w:p>
        </w:tc>
        <w:tc>
          <w:tcPr>
            <w:tcW w:w="1418"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60,0</w:t>
            </w:r>
          </w:p>
        </w:tc>
        <w:tc>
          <w:tcPr>
            <w:tcW w:w="2236" w:type="dxa"/>
            <w:tcBorders>
              <w:top w:val="single" w:sz="4" w:space="0" w:color="212492"/>
              <w:left w:val="single" w:sz="4" w:space="0" w:color="212492"/>
              <w:bottom w:val="single" w:sz="4" w:space="0" w:color="212492"/>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2,2</w:t>
            </w:r>
          </w:p>
        </w:tc>
      </w:tr>
      <w:tr w:rsidR="002112D5" w:rsidRPr="00A064AE" w:rsidTr="00B00DE3">
        <w:trPr>
          <w:trHeight w:val="170"/>
        </w:trPr>
        <w:tc>
          <w:tcPr>
            <w:tcW w:w="2869" w:type="dxa"/>
            <w:tcBorders>
              <w:right w:val="single" w:sz="4" w:space="0" w:color="212492"/>
            </w:tcBorders>
            <w:vAlign w:val="bottom"/>
          </w:tcPr>
          <w:p w:rsidR="002112D5" w:rsidRPr="002112D5" w:rsidRDefault="002112D5" w:rsidP="002112D5">
            <w:pPr>
              <w:pStyle w:val="Boczektabeli2"/>
            </w:pPr>
            <w:r w:rsidRPr="002112D5">
              <w:t xml:space="preserve">General </w:t>
            </w:r>
            <w:proofErr w:type="spellStart"/>
            <w:r w:rsidRPr="002112D5">
              <w:t>secondary</w:t>
            </w:r>
            <w:proofErr w:type="spellEnd"/>
          </w:p>
        </w:tc>
        <w:tc>
          <w:tcPr>
            <w:tcW w:w="1559"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rFonts w:cs="Arial"/>
                <w:szCs w:val="19"/>
              </w:rPr>
            </w:pPr>
            <w:r w:rsidRPr="00864414">
              <w:rPr>
                <w:rFonts w:cs="Arial"/>
                <w:szCs w:val="19"/>
              </w:rPr>
              <w:t>52,0</w:t>
            </w:r>
          </w:p>
        </w:tc>
        <w:tc>
          <w:tcPr>
            <w:tcW w:w="1418"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rFonts w:cs="Arial"/>
                <w:szCs w:val="19"/>
              </w:rPr>
            </w:pPr>
            <w:r w:rsidRPr="00864414">
              <w:rPr>
                <w:rFonts w:cs="Arial"/>
                <w:szCs w:val="19"/>
              </w:rPr>
              <w:t>51,8</w:t>
            </w:r>
          </w:p>
        </w:tc>
        <w:tc>
          <w:tcPr>
            <w:tcW w:w="2236" w:type="dxa"/>
            <w:tcBorders>
              <w:top w:val="single" w:sz="4" w:space="0" w:color="212492"/>
              <w:left w:val="single" w:sz="4" w:space="0" w:color="212492"/>
              <w:bottom w:val="single" w:sz="4" w:space="0" w:color="212492"/>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–0,2</w:t>
            </w:r>
          </w:p>
        </w:tc>
      </w:tr>
      <w:tr w:rsidR="002112D5" w:rsidRPr="00A064AE" w:rsidTr="00B00DE3">
        <w:trPr>
          <w:trHeight w:val="170"/>
        </w:trPr>
        <w:tc>
          <w:tcPr>
            <w:tcW w:w="2869" w:type="dxa"/>
            <w:tcBorders>
              <w:bottom w:val="single" w:sz="4" w:space="0" w:color="001D77"/>
              <w:right w:val="single" w:sz="4" w:space="0" w:color="212492"/>
            </w:tcBorders>
            <w:vAlign w:val="bottom"/>
          </w:tcPr>
          <w:p w:rsidR="002112D5" w:rsidRPr="002112D5" w:rsidRDefault="002112D5" w:rsidP="002112D5">
            <w:pPr>
              <w:pStyle w:val="Boczektabeli2"/>
              <w:jc w:val="left"/>
            </w:pPr>
            <w:r w:rsidRPr="002112D5">
              <w:t xml:space="preserve">Basic </w:t>
            </w:r>
            <w:proofErr w:type="spellStart"/>
            <w:r w:rsidRPr="002112D5">
              <w:t>vocational</w:t>
            </w:r>
            <w:proofErr w:type="spellEnd"/>
            <w:r w:rsidRPr="002112D5">
              <w:t>/</w:t>
            </w:r>
            <w:proofErr w:type="spellStart"/>
            <w:r w:rsidRPr="002112D5">
              <w:t>sectoral</w:t>
            </w:r>
            <w:proofErr w:type="spellEnd"/>
          </w:p>
        </w:tc>
        <w:tc>
          <w:tcPr>
            <w:tcW w:w="1559"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A064AE" w:rsidRDefault="002112D5" w:rsidP="002112D5">
            <w:pPr>
              <w:jc w:val="right"/>
              <w:rPr>
                <w:szCs w:val="19"/>
                <w:shd w:val="clear" w:color="auto" w:fill="FFFFFF"/>
              </w:rPr>
            </w:pPr>
            <w:r w:rsidRPr="00A064AE">
              <w:rPr>
                <w:rFonts w:cs="Arial"/>
                <w:szCs w:val="19"/>
              </w:rPr>
              <w:t xml:space="preserve">              56,9    </w:t>
            </w:r>
          </w:p>
        </w:tc>
        <w:tc>
          <w:tcPr>
            <w:tcW w:w="1418" w:type="dxa"/>
            <w:tcBorders>
              <w:top w:val="single" w:sz="4" w:space="0" w:color="212492"/>
              <w:left w:val="single" w:sz="4" w:space="0" w:color="212492"/>
              <w:bottom w:val="single" w:sz="4" w:space="0" w:color="212492"/>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rFonts w:cs="Arial"/>
                <w:szCs w:val="19"/>
              </w:rPr>
              <w:t xml:space="preserve">              56,5    </w:t>
            </w:r>
          </w:p>
        </w:tc>
        <w:tc>
          <w:tcPr>
            <w:tcW w:w="2236" w:type="dxa"/>
            <w:tcBorders>
              <w:top w:val="single" w:sz="4" w:space="0" w:color="212492"/>
              <w:left w:val="single" w:sz="4" w:space="0" w:color="212492"/>
              <w:bottom w:val="single" w:sz="4" w:space="0" w:color="212492"/>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 xml:space="preserve">  –0,4</w:t>
            </w:r>
          </w:p>
        </w:tc>
      </w:tr>
      <w:tr w:rsidR="002112D5" w:rsidRPr="00A064AE" w:rsidTr="00B00DE3">
        <w:trPr>
          <w:trHeight w:val="170"/>
        </w:trPr>
        <w:tc>
          <w:tcPr>
            <w:tcW w:w="2869" w:type="dxa"/>
            <w:tcBorders>
              <w:bottom w:val="nil"/>
              <w:right w:val="single" w:sz="4" w:space="0" w:color="212492"/>
            </w:tcBorders>
            <w:vAlign w:val="bottom"/>
          </w:tcPr>
          <w:p w:rsidR="002112D5" w:rsidRPr="002112D5" w:rsidRDefault="002112D5" w:rsidP="002112D5">
            <w:pPr>
              <w:pStyle w:val="Boczektabeli2"/>
              <w:jc w:val="left"/>
              <w:rPr>
                <w:lang w:val="en-US"/>
              </w:rPr>
            </w:pPr>
            <w:r w:rsidRPr="002112D5">
              <w:rPr>
                <w:lang w:val="en-US"/>
              </w:rPr>
              <w:t>Lower secondary, primary and incomplete primary</w:t>
            </w:r>
          </w:p>
        </w:tc>
        <w:tc>
          <w:tcPr>
            <w:tcW w:w="1559" w:type="dxa"/>
            <w:tcBorders>
              <w:top w:val="single" w:sz="4" w:space="0" w:color="212492"/>
              <w:left w:val="single" w:sz="4" w:space="0" w:color="212492"/>
              <w:bottom w:val="nil"/>
              <w:right w:val="single" w:sz="4" w:space="0" w:color="212492"/>
            </w:tcBorders>
            <w:shd w:val="clear" w:color="auto" w:fill="auto"/>
            <w:vAlign w:val="center"/>
          </w:tcPr>
          <w:p w:rsidR="002112D5" w:rsidRPr="00A064AE" w:rsidRDefault="002112D5" w:rsidP="002112D5">
            <w:pPr>
              <w:jc w:val="right"/>
              <w:rPr>
                <w:szCs w:val="19"/>
                <w:shd w:val="clear" w:color="auto" w:fill="FFFFFF"/>
              </w:rPr>
            </w:pPr>
            <w:r w:rsidRPr="00A064AE">
              <w:rPr>
                <w:rFonts w:cs="Arial"/>
                <w:szCs w:val="19"/>
              </w:rPr>
              <w:t>17,5</w:t>
            </w:r>
          </w:p>
        </w:tc>
        <w:tc>
          <w:tcPr>
            <w:tcW w:w="1418" w:type="dxa"/>
            <w:tcBorders>
              <w:top w:val="single" w:sz="4" w:space="0" w:color="212492"/>
              <w:left w:val="single" w:sz="4" w:space="0" w:color="212492"/>
              <w:bottom w:val="nil"/>
              <w:right w:val="single" w:sz="4" w:space="0" w:color="212492"/>
            </w:tcBorders>
            <w:shd w:val="clear" w:color="auto" w:fill="auto"/>
            <w:vAlign w:val="center"/>
          </w:tcPr>
          <w:p w:rsidR="002112D5" w:rsidRPr="00864414" w:rsidRDefault="002112D5" w:rsidP="002112D5">
            <w:pPr>
              <w:jc w:val="right"/>
              <w:rPr>
                <w:szCs w:val="19"/>
                <w:shd w:val="clear" w:color="auto" w:fill="FFFFFF"/>
              </w:rPr>
            </w:pPr>
            <w:r w:rsidRPr="00864414">
              <w:rPr>
                <w:rFonts w:cs="Arial"/>
                <w:szCs w:val="19"/>
              </w:rPr>
              <w:t>16,8</w:t>
            </w:r>
          </w:p>
        </w:tc>
        <w:tc>
          <w:tcPr>
            <w:tcW w:w="2236" w:type="dxa"/>
            <w:tcBorders>
              <w:top w:val="single" w:sz="4" w:space="0" w:color="212492"/>
              <w:left w:val="single" w:sz="4" w:space="0" w:color="212492"/>
              <w:bottom w:val="nil"/>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 xml:space="preserve">  –0,7</w:t>
            </w:r>
          </w:p>
        </w:tc>
      </w:tr>
      <w:tr w:rsidR="0010041F" w:rsidRPr="00A064AE" w:rsidTr="003954D7">
        <w:trPr>
          <w:trHeight w:val="170"/>
        </w:trPr>
        <w:tc>
          <w:tcPr>
            <w:tcW w:w="8082" w:type="dxa"/>
            <w:gridSpan w:val="4"/>
            <w:tcBorders>
              <w:top w:val="nil"/>
              <w:bottom w:val="nil"/>
              <w:right w:val="nil"/>
            </w:tcBorders>
            <w:vAlign w:val="bottom"/>
          </w:tcPr>
          <w:p w:rsidR="0010041F" w:rsidRPr="00864414" w:rsidRDefault="002112D5" w:rsidP="0010041F">
            <w:pPr>
              <w:jc w:val="center"/>
              <w:rPr>
                <w:szCs w:val="19"/>
                <w:shd w:val="clear" w:color="auto" w:fill="FFFFFF"/>
              </w:rPr>
            </w:pPr>
            <w:r>
              <w:rPr>
                <w:b/>
                <w:szCs w:val="19"/>
                <w:shd w:val="clear" w:color="auto" w:fill="FFFFFF"/>
              </w:rPr>
              <w:t>UNEMPLOYMENT RATE</w:t>
            </w:r>
          </w:p>
        </w:tc>
      </w:tr>
      <w:tr w:rsidR="002112D5" w:rsidRPr="00A064AE" w:rsidTr="004961CE">
        <w:trPr>
          <w:trHeight w:val="113"/>
        </w:trPr>
        <w:tc>
          <w:tcPr>
            <w:tcW w:w="2869" w:type="dxa"/>
            <w:tcBorders>
              <w:top w:val="nil"/>
              <w:right w:val="single" w:sz="4" w:space="0" w:color="212492"/>
            </w:tcBorders>
            <w:vAlign w:val="bottom"/>
          </w:tcPr>
          <w:p w:rsidR="002112D5" w:rsidRPr="00A064AE" w:rsidRDefault="002112D5" w:rsidP="002112D5">
            <w:pPr>
              <w:pStyle w:val="Boczektabeli"/>
            </w:pPr>
            <w:r w:rsidRPr="002112D5">
              <w:t>TOTAL</w:t>
            </w:r>
            <w:r w:rsidRPr="002112D5">
              <w:tab/>
            </w:r>
          </w:p>
        </w:tc>
        <w:tc>
          <w:tcPr>
            <w:tcW w:w="1559" w:type="dxa"/>
            <w:tcBorders>
              <w:top w:val="nil"/>
              <w:left w:val="single" w:sz="4" w:space="0" w:color="001D77"/>
              <w:bottom w:val="single" w:sz="4" w:space="0" w:color="001D77"/>
              <w:right w:val="single" w:sz="4" w:space="0" w:color="001D77"/>
            </w:tcBorders>
            <w:shd w:val="clear" w:color="auto" w:fill="auto"/>
            <w:vAlign w:val="center"/>
          </w:tcPr>
          <w:p w:rsidR="002112D5" w:rsidRPr="00A064AE" w:rsidRDefault="002112D5" w:rsidP="002112D5">
            <w:pPr>
              <w:jc w:val="right"/>
              <w:rPr>
                <w:b/>
                <w:szCs w:val="19"/>
                <w:shd w:val="clear" w:color="auto" w:fill="FFFFFF"/>
              </w:rPr>
            </w:pPr>
            <w:r w:rsidRPr="00A064AE">
              <w:rPr>
                <w:rFonts w:cs="Arial"/>
                <w:b/>
                <w:szCs w:val="19"/>
              </w:rPr>
              <w:t xml:space="preserve">                2,3    </w:t>
            </w:r>
          </w:p>
        </w:tc>
        <w:tc>
          <w:tcPr>
            <w:tcW w:w="1418" w:type="dxa"/>
            <w:tcBorders>
              <w:top w:val="nil"/>
              <w:left w:val="single" w:sz="4" w:space="0" w:color="001D77"/>
              <w:bottom w:val="single" w:sz="4" w:space="0" w:color="001D77"/>
              <w:right w:val="single" w:sz="4" w:space="0" w:color="001D77"/>
            </w:tcBorders>
            <w:shd w:val="clear" w:color="auto" w:fill="auto"/>
            <w:vAlign w:val="center"/>
          </w:tcPr>
          <w:p w:rsidR="002112D5" w:rsidRPr="00864414" w:rsidRDefault="002112D5" w:rsidP="002112D5">
            <w:pPr>
              <w:jc w:val="right"/>
              <w:rPr>
                <w:b/>
                <w:szCs w:val="19"/>
                <w:shd w:val="clear" w:color="auto" w:fill="FFFFFF"/>
              </w:rPr>
            </w:pPr>
            <w:r w:rsidRPr="00864414">
              <w:rPr>
                <w:rFonts w:cs="Arial"/>
                <w:b/>
                <w:szCs w:val="19"/>
              </w:rPr>
              <w:t xml:space="preserve">                3,0   </w:t>
            </w:r>
          </w:p>
        </w:tc>
        <w:tc>
          <w:tcPr>
            <w:tcW w:w="2236" w:type="dxa"/>
            <w:tcBorders>
              <w:top w:val="nil"/>
              <w:left w:val="single" w:sz="4" w:space="0" w:color="001D77"/>
              <w:bottom w:val="single" w:sz="4" w:space="0" w:color="001D77"/>
              <w:right w:val="nil"/>
            </w:tcBorders>
            <w:shd w:val="clear" w:color="auto" w:fill="auto"/>
            <w:vAlign w:val="center"/>
          </w:tcPr>
          <w:p w:rsidR="002112D5" w:rsidRPr="00864414" w:rsidRDefault="002112D5" w:rsidP="002112D5">
            <w:pPr>
              <w:jc w:val="right"/>
              <w:rPr>
                <w:b/>
                <w:szCs w:val="19"/>
                <w:shd w:val="clear" w:color="auto" w:fill="FFFFFF"/>
              </w:rPr>
            </w:pPr>
            <w:r w:rsidRPr="00864414">
              <w:rPr>
                <w:rFonts w:cs="Arial"/>
                <w:b/>
                <w:szCs w:val="19"/>
              </w:rPr>
              <w:t xml:space="preserve">  0,7</w:t>
            </w:r>
          </w:p>
        </w:tc>
      </w:tr>
      <w:tr w:rsidR="002112D5" w:rsidRPr="00A064AE" w:rsidTr="004961CE">
        <w:trPr>
          <w:trHeight w:val="113"/>
        </w:trPr>
        <w:tc>
          <w:tcPr>
            <w:tcW w:w="2869" w:type="dxa"/>
            <w:tcBorders>
              <w:right w:val="single" w:sz="4" w:space="0" w:color="212492"/>
            </w:tcBorders>
            <w:vAlign w:val="bottom"/>
          </w:tcPr>
          <w:p w:rsidR="002112D5" w:rsidRPr="00A064AE" w:rsidRDefault="002112D5" w:rsidP="002112D5">
            <w:pPr>
              <w:pStyle w:val="Boczektabeli2"/>
            </w:pPr>
            <w:proofErr w:type="spellStart"/>
            <w:r w:rsidRPr="002112D5">
              <w:t>Higher</w:t>
            </w:r>
            <w:proofErr w:type="spellEnd"/>
            <w:r w:rsidRPr="002112D5">
              <w:tab/>
            </w:r>
          </w:p>
        </w:tc>
        <w:tc>
          <w:tcPr>
            <w:tcW w:w="1559"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A064AE" w:rsidRDefault="002112D5" w:rsidP="002112D5">
            <w:pPr>
              <w:jc w:val="right"/>
              <w:rPr>
                <w:szCs w:val="19"/>
                <w:shd w:val="clear" w:color="auto" w:fill="FFFFFF"/>
              </w:rPr>
            </w:pPr>
            <w:r w:rsidRPr="00A064AE">
              <w:rPr>
                <w:rFonts w:cs="Arial"/>
                <w:szCs w:val="19"/>
              </w:rPr>
              <w:t xml:space="preserve">                1,3 </w:t>
            </w:r>
          </w:p>
        </w:tc>
        <w:tc>
          <w:tcPr>
            <w:tcW w:w="1418"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864414" w:rsidRDefault="002112D5" w:rsidP="002112D5">
            <w:pPr>
              <w:jc w:val="right"/>
              <w:rPr>
                <w:szCs w:val="19"/>
                <w:shd w:val="clear" w:color="auto" w:fill="FFFFFF"/>
              </w:rPr>
            </w:pPr>
            <w:r w:rsidRPr="00864414">
              <w:rPr>
                <w:rFonts w:cs="Arial"/>
                <w:szCs w:val="19"/>
              </w:rPr>
              <w:t xml:space="preserve">                1,7 </w:t>
            </w:r>
          </w:p>
        </w:tc>
        <w:tc>
          <w:tcPr>
            <w:tcW w:w="2236" w:type="dxa"/>
            <w:tcBorders>
              <w:top w:val="single" w:sz="4" w:space="0" w:color="001D77"/>
              <w:left w:val="single" w:sz="4" w:space="0" w:color="001D77"/>
              <w:bottom w:val="single" w:sz="4" w:space="0" w:color="001D77"/>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 xml:space="preserve">  0,4</w:t>
            </w:r>
          </w:p>
        </w:tc>
      </w:tr>
      <w:tr w:rsidR="002112D5" w:rsidRPr="00A064AE" w:rsidTr="004961CE">
        <w:trPr>
          <w:trHeight w:val="113"/>
        </w:trPr>
        <w:tc>
          <w:tcPr>
            <w:tcW w:w="2869" w:type="dxa"/>
            <w:tcBorders>
              <w:right w:val="single" w:sz="4" w:space="0" w:color="212492"/>
            </w:tcBorders>
            <w:vAlign w:val="bottom"/>
          </w:tcPr>
          <w:p w:rsidR="002112D5" w:rsidRPr="002112D5" w:rsidRDefault="002112D5" w:rsidP="002112D5">
            <w:pPr>
              <w:pStyle w:val="Boczektabeli2"/>
              <w:rPr>
                <w:lang w:val="en-US"/>
              </w:rPr>
            </w:pPr>
            <w:r w:rsidRPr="002112D5">
              <w:rPr>
                <w:lang w:val="en-US"/>
              </w:rPr>
              <w:t xml:space="preserve">Post-secondary and vocational secondary </w:t>
            </w:r>
          </w:p>
        </w:tc>
        <w:tc>
          <w:tcPr>
            <w:tcW w:w="1559"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A064AE" w:rsidRDefault="002112D5" w:rsidP="002112D5">
            <w:pPr>
              <w:jc w:val="right"/>
              <w:rPr>
                <w:rFonts w:cs="Arial"/>
                <w:szCs w:val="19"/>
              </w:rPr>
            </w:pPr>
            <w:r w:rsidRPr="00A064AE">
              <w:rPr>
                <w:rFonts w:cs="Arial"/>
                <w:szCs w:val="19"/>
              </w:rPr>
              <w:t>2,0</w:t>
            </w:r>
          </w:p>
        </w:tc>
        <w:tc>
          <w:tcPr>
            <w:tcW w:w="1418"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864414" w:rsidRDefault="002112D5" w:rsidP="002112D5">
            <w:pPr>
              <w:jc w:val="right"/>
              <w:rPr>
                <w:rFonts w:cs="Arial"/>
                <w:szCs w:val="19"/>
              </w:rPr>
            </w:pPr>
            <w:r w:rsidRPr="00864414">
              <w:rPr>
                <w:rFonts w:cs="Arial"/>
                <w:szCs w:val="19"/>
              </w:rPr>
              <w:t>2,5</w:t>
            </w:r>
          </w:p>
        </w:tc>
        <w:tc>
          <w:tcPr>
            <w:tcW w:w="2236" w:type="dxa"/>
            <w:tcBorders>
              <w:top w:val="single" w:sz="4" w:space="0" w:color="001D77"/>
              <w:left w:val="single" w:sz="4" w:space="0" w:color="001D77"/>
              <w:bottom w:val="single" w:sz="4" w:space="0" w:color="001D77"/>
              <w:right w:val="nil"/>
            </w:tcBorders>
            <w:shd w:val="clear" w:color="auto" w:fill="auto"/>
            <w:vAlign w:val="center"/>
          </w:tcPr>
          <w:p w:rsidR="002112D5" w:rsidRPr="00864414" w:rsidRDefault="002112D5" w:rsidP="002112D5">
            <w:pPr>
              <w:jc w:val="right"/>
              <w:rPr>
                <w:rFonts w:cs="Arial"/>
                <w:szCs w:val="19"/>
              </w:rPr>
            </w:pPr>
            <w:r w:rsidRPr="00864414">
              <w:rPr>
                <w:rFonts w:cs="Arial"/>
                <w:szCs w:val="19"/>
              </w:rPr>
              <w:t>0,5</w:t>
            </w:r>
          </w:p>
        </w:tc>
      </w:tr>
      <w:tr w:rsidR="002112D5" w:rsidRPr="00A064AE" w:rsidTr="004961CE">
        <w:trPr>
          <w:trHeight w:val="113"/>
        </w:trPr>
        <w:tc>
          <w:tcPr>
            <w:tcW w:w="2869" w:type="dxa"/>
            <w:tcBorders>
              <w:right w:val="single" w:sz="4" w:space="0" w:color="212492"/>
            </w:tcBorders>
            <w:vAlign w:val="bottom"/>
          </w:tcPr>
          <w:p w:rsidR="002112D5" w:rsidRPr="00A064AE" w:rsidRDefault="002112D5" w:rsidP="002112D5">
            <w:pPr>
              <w:pStyle w:val="Boczektabeli2"/>
            </w:pPr>
            <w:r w:rsidRPr="002112D5">
              <w:t xml:space="preserve">General </w:t>
            </w:r>
            <w:proofErr w:type="spellStart"/>
            <w:r w:rsidRPr="002112D5">
              <w:t>secondary</w:t>
            </w:r>
            <w:proofErr w:type="spellEnd"/>
          </w:p>
        </w:tc>
        <w:tc>
          <w:tcPr>
            <w:tcW w:w="1559"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A064AE" w:rsidRDefault="002112D5" w:rsidP="002112D5">
            <w:pPr>
              <w:jc w:val="right"/>
              <w:rPr>
                <w:rFonts w:cs="Arial"/>
                <w:szCs w:val="19"/>
              </w:rPr>
            </w:pPr>
            <w:r w:rsidRPr="00A064AE">
              <w:rPr>
                <w:szCs w:val="19"/>
              </w:rPr>
              <w:t>5,7</w:t>
            </w:r>
          </w:p>
        </w:tc>
        <w:tc>
          <w:tcPr>
            <w:tcW w:w="1418" w:type="dxa"/>
            <w:tcBorders>
              <w:top w:val="single" w:sz="4" w:space="0" w:color="001D77"/>
              <w:left w:val="single" w:sz="4" w:space="0" w:color="001D77"/>
              <w:bottom w:val="single" w:sz="4" w:space="0" w:color="001D77"/>
              <w:right w:val="single" w:sz="4" w:space="0" w:color="001D77"/>
            </w:tcBorders>
            <w:shd w:val="clear" w:color="auto" w:fill="auto"/>
            <w:vAlign w:val="center"/>
          </w:tcPr>
          <w:p w:rsidR="002112D5" w:rsidRPr="00864414" w:rsidRDefault="002112D5" w:rsidP="002112D5">
            <w:pPr>
              <w:jc w:val="right"/>
              <w:rPr>
                <w:szCs w:val="19"/>
              </w:rPr>
            </w:pPr>
            <w:r w:rsidRPr="00864414">
              <w:rPr>
                <w:szCs w:val="19"/>
              </w:rPr>
              <w:t>5,4</w:t>
            </w:r>
          </w:p>
        </w:tc>
        <w:tc>
          <w:tcPr>
            <w:tcW w:w="2236" w:type="dxa"/>
            <w:tcBorders>
              <w:top w:val="single" w:sz="4" w:space="0" w:color="001D77"/>
              <w:left w:val="single" w:sz="4" w:space="0" w:color="001D77"/>
              <w:bottom w:val="single" w:sz="4" w:space="0" w:color="001D77"/>
              <w:right w:val="nil"/>
            </w:tcBorders>
            <w:shd w:val="clear" w:color="auto" w:fill="auto"/>
            <w:vAlign w:val="center"/>
          </w:tcPr>
          <w:p w:rsidR="002112D5" w:rsidRPr="00864414" w:rsidRDefault="002112D5" w:rsidP="002112D5">
            <w:pPr>
              <w:jc w:val="right"/>
              <w:rPr>
                <w:szCs w:val="19"/>
              </w:rPr>
            </w:pPr>
            <w:r w:rsidRPr="00864414">
              <w:rPr>
                <w:szCs w:val="19"/>
              </w:rPr>
              <w:t xml:space="preserve">  –0,3</w:t>
            </w:r>
          </w:p>
        </w:tc>
      </w:tr>
      <w:tr w:rsidR="002112D5" w:rsidRPr="00A064AE" w:rsidTr="004961CE">
        <w:trPr>
          <w:trHeight w:val="113"/>
        </w:trPr>
        <w:tc>
          <w:tcPr>
            <w:tcW w:w="2869" w:type="dxa"/>
            <w:tcBorders>
              <w:bottom w:val="single" w:sz="4" w:space="0" w:color="001D77"/>
              <w:right w:val="single" w:sz="4" w:space="0" w:color="212492"/>
            </w:tcBorders>
            <w:vAlign w:val="bottom"/>
          </w:tcPr>
          <w:p w:rsidR="002112D5" w:rsidRPr="00A064AE" w:rsidRDefault="002112D5" w:rsidP="002112D5">
            <w:pPr>
              <w:pStyle w:val="Boczektabeli2"/>
              <w:jc w:val="left"/>
            </w:pPr>
            <w:r w:rsidRPr="002112D5">
              <w:t xml:space="preserve">Basic </w:t>
            </w:r>
            <w:proofErr w:type="spellStart"/>
            <w:r w:rsidRPr="002112D5">
              <w:t>vocational</w:t>
            </w:r>
            <w:proofErr w:type="spellEnd"/>
            <w:r w:rsidRPr="002112D5">
              <w:t>/</w:t>
            </w:r>
            <w:proofErr w:type="spellStart"/>
            <w:r w:rsidRPr="002112D5">
              <w:t>sectoral</w:t>
            </w:r>
            <w:proofErr w:type="spellEnd"/>
          </w:p>
        </w:tc>
        <w:tc>
          <w:tcPr>
            <w:tcW w:w="1559" w:type="dxa"/>
            <w:tcBorders>
              <w:top w:val="single" w:sz="4" w:space="0" w:color="001D77"/>
              <w:left w:val="single" w:sz="4" w:space="0" w:color="001D77"/>
              <w:bottom w:val="single" w:sz="4" w:space="0" w:color="212492"/>
              <w:right w:val="single" w:sz="4" w:space="0" w:color="001D77"/>
            </w:tcBorders>
            <w:shd w:val="clear" w:color="auto" w:fill="auto"/>
            <w:vAlign w:val="center"/>
          </w:tcPr>
          <w:p w:rsidR="002112D5" w:rsidRPr="00A064AE" w:rsidRDefault="002112D5" w:rsidP="002112D5">
            <w:pPr>
              <w:jc w:val="right"/>
              <w:rPr>
                <w:szCs w:val="19"/>
                <w:shd w:val="clear" w:color="auto" w:fill="FFFFFF"/>
              </w:rPr>
            </w:pPr>
            <w:r w:rsidRPr="00A064AE">
              <w:rPr>
                <w:szCs w:val="19"/>
                <w:shd w:val="clear" w:color="auto" w:fill="FFFFFF"/>
              </w:rPr>
              <w:t>3,1</w:t>
            </w:r>
          </w:p>
        </w:tc>
        <w:tc>
          <w:tcPr>
            <w:tcW w:w="1418" w:type="dxa"/>
            <w:tcBorders>
              <w:top w:val="single" w:sz="4" w:space="0" w:color="001D77"/>
              <w:left w:val="single" w:sz="4" w:space="0" w:color="001D77"/>
              <w:bottom w:val="single" w:sz="4" w:space="0" w:color="212492"/>
              <w:right w:val="single" w:sz="4" w:space="0" w:color="001D77"/>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4,6</w:t>
            </w:r>
          </w:p>
        </w:tc>
        <w:tc>
          <w:tcPr>
            <w:tcW w:w="2236" w:type="dxa"/>
            <w:tcBorders>
              <w:top w:val="single" w:sz="4" w:space="0" w:color="001D77"/>
              <w:left w:val="single" w:sz="4" w:space="0" w:color="001D77"/>
              <w:bottom w:val="single" w:sz="4" w:space="0" w:color="212492"/>
              <w:right w:val="nil"/>
            </w:tcBorders>
            <w:shd w:val="clear" w:color="auto" w:fill="auto"/>
            <w:vAlign w:val="center"/>
          </w:tcPr>
          <w:p w:rsidR="002112D5" w:rsidRPr="00864414" w:rsidRDefault="002112D5" w:rsidP="002112D5">
            <w:pPr>
              <w:jc w:val="right"/>
              <w:rPr>
                <w:szCs w:val="19"/>
                <w:shd w:val="clear" w:color="auto" w:fill="FFFFFF"/>
              </w:rPr>
            </w:pPr>
            <w:r w:rsidRPr="00864414">
              <w:rPr>
                <w:szCs w:val="19"/>
                <w:shd w:val="clear" w:color="auto" w:fill="FFFFFF"/>
              </w:rPr>
              <w:t xml:space="preserve">                                 </w:t>
            </w:r>
            <w:r w:rsidRPr="00864414">
              <w:rPr>
                <w:szCs w:val="19"/>
              </w:rPr>
              <w:t>1,5</w:t>
            </w:r>
          </w:p>
        </w:tc>
      </w:tr>
      <w:tr w:rsidR="002112D5" w:rsidRPr="00A064AE" w:rsidTr="004961CE">
        <w:trPr>
          <w:trHeight w:val="113"/>
        </w:trPr>
        <w:tc>
          <w:tcPr>
            <w:tcW w:w="2869" w:type="dxa"/>
            <w:tcBorders>
              <w:bottom w:val="nil"/>
              <w:right w:val="single" w:sz="4" w:space="0" w:color="212492"/>
            </w:tcBorders>
            <w:vAlign w:val="bottom"/>
          </w:tcPr>
          <w:p w:rsidR="002112D5" w:rsidRPr="002112D5" w:rsidRDefault="002112D5" w:rsidP="002112D5">
            <w:pPr>
              <w:pStyle w:val="Boczektabeli2"/>
              <w:jc w:val="left"/>
              <w:rPr>
                <w:lang w:val="en-US"/>
              </w:rPr>
            </w:pPr>
            <w:r w:rsidRPr="002112D5">
              <w:rPr>
                <w:lang w:val="en-US"/>
              </w:rPr>
              <w:t>Lower secondary, primary and incomplete primary</w:t>
            </w:r>
          </w:p>
        </w:tc>
        <w:tc>
          <w:tcPr>
            <w:tcW w:w="1559" w:type="dxa"/>
            <w:tcBorders>
              <w:top w:val="single" w:sz="4" w:space="0" w:color="212492"/>
              <w:left w:val="single" w:sz="4" w:space="0" w:color="001D77"/>
              <w:bottom w:val="nil"/>
              <w:right w:val="single" w:sz="4" w:space="0" w:color="001D77"/>
            </w:tcBorders>
            <w:shd w:val="clear" w:color="auto" w:fill="auto"/>
            <w:vAlign w:val="center"/>
          </w:tcPr>
          <w:p w:rsidR="002112D5" w:rsidRPr="00A064AE" w:rsidRDefault="002112D5" w:rsidP="002112D5">
            <w:pPr>
              <w:jc w:val="right"/>
              <w:rPr>
                <w:rFonts w:cs="Arial"/>
                <w:szCs w:val="19"/>
              </w:rPr>
            </w:pPr>
            <w:r w:rsidRPr="00A064AE">
              <w:rPr>
                <w:rFonts w:cs="Arial"/>
                <w:szCs w:val="19"/>
              </w:rPr>
              <w:t>.</w:t>
            </w:r>
          </w:p>
        </w:tc>
        <w:tc>
          <w:tcPr>
            <w:tcW w:w="1418" w:type="dxa"/>
            <w:tcBorders>
              <w:top w:val="single" w:sz="4" w:space="0" w:color="212492"/>
              <w:left w:val="single" w:sz="4" w:space="0" w:color="001D77"/>
              <w:bottom w:val="nil"/>
              <w:right w:val="single" w:sz="4" w:space="0" w:color="001D77"/>
            </w:tcBorders>
            <w:shd w:val="clear" w:color="auto" w:fill="auto"/>
            <w:vAlign w:val="center"/>
          </w:tcPr>
          <w:p w:rsidR="002112D5" w:rsidRPr="00A064AE" w:rsidRDefault="002112D5" w:rsidP="002112D5">
            <w:pPr>
              <w:jc w:val="right"/>
              <w:rPr>
                <w:rFonts w:cs="Arial"/>
                <w:szCs w:val="19"/>
              </w:rPr>
            </w:pPr>
            <w:r w:rsidRPr="00A064AE">
              <w:rPr>
                <w:rFonts w:cs="Arial"/>
                <w:szCs w:val="19"/>
              </w:rPr>
              <w:t>.</w:t>
            </w:r>
          </w:p>
        </w:tc>
        <w:tc>
          <w:tcPr>
            <w:tcW w:w="2236" w:type="dxa"/>
            <w:tcBorders>
              <w:top w:val="single" w:sz="4" w:space="0" w:color="212492"/>
              <w:left w:val="single" w:sz="4" w:space="0" w:color="001D77"/>
              <w:bottom w:val="nil"/>
              <w:right w:val="nil"/>
            </w:tcBorders>
            <w:shd w:val="clear" w:color="auto" w:fill="auto"/>
            <w:vAlign w:val="center"/>
          </w:tcPr>
          <w:p w:rsidR="002112D5" w:rsidRPr="00A064AE" w:rsidRDefault="002112D5" w:rsidP="002112D5">
            <w:pPr>
              <w:jc w:val="right"/>
              <w:rPr>
                <w:szCs w:val="19"/>
                <w:shd w:val="clear" w:color="auto" w:fill="FFFFFF"/>
              </w:rPr>
            </w:pPr>
            <w:r w:rsidRPr="00A064AE">
              <w:rPr>
                <w:szCs w:val="19"/>
                <w:shd w:val="clear" w:color="auto" w:fill="FFFFFF"/>
              </w:rPr>
              <w:t>.</w:t>
            </w:r>
          </w:p>
        </w:tc>
      </w:tr>
    </w:tbl>
    <w:p w:rsidR="000511DC" w:rsidRDefault="000511DC" w:rsidP="000511DC">
      <w:pPr>
        <w:spacing w:before="0" w:after="0" w:line="160" w:lineRule="exact"/>
        <w:rPr>
          <w:sz w:val="16"/>
          <w:szCs w:val="16"/>
        </w:rPr>
      </w:pPr>
    </w:p>
    <w:p w:rsidR="001712E9" w:rsidRDefault="001712E9" w:rsidP="000511DC">
      <w:pPr>
        <w:spacing w:before="0" w:after="0"/>
        <w:rPr>
          <w:sz w:val="16"/>
          <w:szCs w:val="16"/>
        </w:rPr>
      </w:pPr>
    </w:p>
    <w:p w:rsidR="002112D5" w:rsidRPr="002112D5" w:rsidRDefault="002112D5" w:rsidP="002112D5">
      <w:pPr>
        <w:rPr>
          <w:sz w:val="16"/>
          <w:szCs w:val="16"/>
          <w:lang w:val="en-US"/>
        </w:rPr>
      </w:pPr>
      <w:r w:rsidRPr="002112D5">
        <w:rPr>
          <w:sz w:val="16"/>
          <w:szCs w:val="16"/>
          <w:lang w:val="en-US"/>
        </w:rPr>
        <w:t xml:space="preserve">Note. In the study, the sums of components may differ from the "total" value, which is the result of rounding made when </w:t>
      </w:r>
      <w:proofErr w:type="spellStart"/>
      <w:r w:rsidRPr="002112D5">
        <w:rPr>
          <w:sz w:val="16"/>
          <w:szCs w:val="16"/>
          <w:lang w:val="en-US"/>
        </w:rPr>
        <w:t>generalising</w:t>
      </w:r>
      <w:proofErr w:type="spellEnd"/>
      <w:r w:rsidRPr="002112D5">
        <w:rPr>
          <w:sz w:val="16"/>
          <w:szCs w:val="16"/>
          <w:lang w:val="en-US"/>
        </w:rPr>
        <w:t xml:space="preserve"> the survey results. Due to the representative survey method, caution is recommended in the use of data in those cases where more detailed divisions are used and there are low-order numbers (less than 20 thousand). Numbers which, after </w:t>
      </w:r>
      <w:proofErr w:type="spellStart"/>
      <w:r w:rsidRPr="002112D5">
        <w:rPr>
          <w:sz w:val="16"/>
          <w:szCs w:val="16"/>
          <w:lang w:val="en-US"/>
        </w:rPr>
        <w:t>generalising</w:t>
      </w:r>
      <w:proofErr w:type="spellEnd"/>
      <w:r w:rsidRPr="002112D5">
        <w:rPr>
          <w:sz w:val="16"/>
          <w:szCs w:val="16"/>
          <w:lang w:val="en-US"/>
        </w:rPr>
        <w:t xml:space="preserve"> the results from the sample, are below 10 thousand have been replaced with a dot ("·"), which means that a specific value cannot be shown due to a random sample error.</w:t>
      </w:r>
    </w:p>
    <w:p w:rsidR="00217A16" w:rsidRPr="004961CE" w:rsidRDefault="00217A16" w:rsidP="001712E9">
      <w:pPr>
        <w:rPr>
          <w:rFonts w:cs="Calibri"/>
          <w:szCs w:val="19"/>
          <w:lang w:val="en-US"/>
        </w:rPr>
      </w:pPr>
    </w:p>
    <w:p w:rsidR="00217A16" w:rsidRPr="004961CE" w:rsidRDefault="00217A16" w:rsidP="001712E9">
      <w:pPr>
        <w:rPr>
          <w:rFonts w:cs="Calibri"/>
          <w:szCs w:val="19"/>
          <w:lang w:val="en-US"/>
        </w:rPr>
      </w:pPr>
    </w:p>
    <w:p w:rsidR="001712E9" w:rsidRPr="002112D5" w:rsidRDefault="002112D5" w:rsidP="00A064AE">
      <w:pPr>
        <w:rPr>
          <w:szCs w:val="19"/>
          <w:lang w:val="en-US"/>
        </w:rPr>
        <w:sectPr w:rsidR="001712E9" w:rsidRPr="002112D5" w:rsidSect="00A064AE">
          <w:headerReference w:type="default" r:id="rId20"/>
          <w:footerReference w:type="default" r:id="rId21"/>
          <w:headerReference w:type="first" r:id="rId22"/>
          <w:footerReference w:type="first" r:id="rId23"/>
          <w:pgSz w:w="11906" w:h="16838"/>
          <w:pgMar w:top="709" w:right="3119" w:bottom="720" w:left="720" w:header="284" w:footer="283" w:gutter="0"/>
          <w:cols w:space="708"/>
          <w:titlePg/>
          <w:docGrid w:linePitch="360"/>
        </w:sectPr>
      </w:pPr>
      <w:r w:rsidRPr="002112D5">
        <w:rPr>
          <w:rFonts w:cs="Calibri"/>
          <w:szCs w:val="19"/>
          <w:lang w:val="en-US"/>
        </w:rPr>
        <w:t>When quoting the data from the Statistics Poland, please do include information: “Data source Statistics Poland”, while in case of publishing the calculations done with the use of the data published by Statistics Poland, please do include information: “Own elaboration based on the Statistics Poland data”.</w:t>
      </w:r>
    </w:p>
    <w:p w:rsidR="000470AA" w:rsidRPr="002112D5" w:rsidRDefault="000470AA" w:rsidP="000470AA">
      <w:pPr>
        <w:rPr>
          <w:sz w:val="18"/>
          <w:lang w:val="en-US"/>
        </w:r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C4182" w:rsidRPr="009C4182" w:rsidTr="009A40DE">
        <w:trPr>
          <w:trHeight w:val="1626"/>
        </w:trPr>
        <w:tc>
          <w:tcPr>
            <w:tcW w:w="4926" w:type="dxa"/>
          </w:tcPr>
          <w:p w:rsidR="009C4182" w:rsidRPr="00C403AF" w:rsidRDefault="00C403AF" w:rsidP="009C4182">
            <w:pPr>
              <w:spacing w:before="0" w:after="0" w:line="276" w:lineRule="auto"/>
              <w:rPr>
                <w:rFonts w:cs="Arial"/>
                <w:sz w:val="20"/>
                <w:lang w:val="en-US"/>
              </w:rPr>
            </w:pPr>
            <w:r w:rsidRPr="00C403AF">
              <w:rPr>
                <w:rFonts w:cs="Arial"/>
                <w:sz w:val="20"/>
                <w:lang w:val="en-US"/>
              </w:rPr>
              <w:t>Prepared by</w:t>
            </w:r>
            <w:r w:rsidR="009C4182" w:rsidRPr="00C403AF">
              <w:rPr>
                <w:rFonts w:cs="Arial"/>
                <w:sz w:val="20"/>
                <w:lang w:val="en-US"/>
              </w:rPr>
              <w:t>:</w:t>
            </w:r>
          </w:p>
          <w:p w:rsidR="009C4182" w:rsidRPr="00C403AF" w:rsidRDefault="00C403AF" w:rsidP="009C4182">
            <w:pPr>
              <w:spacing w:before="0" w:line="276" w:lineRule="auto"/>
              <w:rPr>
                <w:rFonts w:cs="Arial"/>
                <w:b/>
                <w:color w:val="000000" w:themeColor="text1"/>
                <w:sz w:val="20"/>
                <w:lang w:val="en-US"/>
              </w:rPr>
            </w:pPr>
            <w:r w:rsidRPr="00C403AF">
              <w:rPr>
                <w:rFonts w:cs="Arial"/>
                <w:b/>
                <w:sz w:val="20"/>
                <w:lang w:val="en-US"/>
              </w:rPr>
              <w:t>Statistical Office in Warszawa</w:t>
            </w:r>
          </w:p>
          <w:p w:rsidR="009C4182" w:rsidRPr="00B142B0" w:rsidRDefault="00C403AF" w:rsidP="009C4182">
            <w:pPr>
              <w:spacing w:before="0" w:after="0" w:line="276" w:lineRule="auto"/>
              <w:rPr>
                <w:b/>
                <w:sz w:val="20"/>
                <w:szCs w:val="20"/>
                <w:lang w:val="fi-FI"/>
              </w:rPr>
            </w:pPr>
            <w:r>
              <w:rPr>
                <w:b/>
                <w:sz w:val="20"/>
                <w:szCs w:val="20"/>
                <w:lang w:val="fi-FI"/>
              </w:rPr>
              <w:t>Director</w:t>
            </w:r>
            <w:r w:rsidRPr="00B142B0">
              <w:rPr>
                <w:b/>
                <w:sz w:val="20"/>
                <w:szCs w:val="20"/>
                <w:lang w:val="fi-FI"/>
              </w:rPr>
              <w:t xml:space="preserve"> </w:t>
            </w:r>
            <w:r w:rsidR="009C4182" w:rsidRPr="00B142B0">
              <w:rPr>
                <w:b/>
                <w:sz w:val="20"/>
                <w:szCs w:val="20"/>
                <w:lang w:val="fi-FI"/>
              </w:rPr>
              <w:t>Zofia Kozłowska</w:t>
            </w:r>
          </w:p>
          <w:p w:rsidR="009C4182" w:rsidRPr="009C4182" w:rsidRDefault="009C4182" w:rsidP="009C4182">
            <w:pPr>
              <w:keepNext/>
              <w:keepLines/>
              <w:spacing w:before="0" w:line="240" w:lineRule="auto"/>
              <w:outlineLvl w:val="2"/>
              <w:rPr>
                <w:rFonts w:eastAsiaTheme="majorEastAsia" w:cs="Arial"/>
                <w:color w:val="000000" w:themeColor="text1"/>
                <w:sz w:val="20"/>
                <w:szCs w:val="24"/>
                <w:lang w:val="fi-FI"/>
              </w:rPr>
            </w:pPr>
            <w:r w:rsidRPr="009C4182">
              <w:rPr>
                <w:rFonts w:eastAsiaTheme="majorEastAsia" w:cs="Arial"/>
                <w:color w:val="000000" w:themeColor="text1"/>
                <w:sz w:val="20"/>
                <w:szCs w:val="24"/>
                <w:lang w:val="fi-FI"/>
              </w:rPr>
              <w:t>Tel</w:t>
            </w:r>
            <w:r w:rsidR="00B142B0">
              <w:rPr>
                <w:rFonts w:eastAsiaTheme="majorEastAsia" w:cs="Arial"/>
                <w:color w:val="000000" w:themeColor="text1"/>
                <w:sz w:val="20"/>
                <w:szCs w:val="24"/>
                <w:lang w:val="fi-FI"/>
              </w:rPr>
              <w:t>.</w:t>
            </w:r>
            <w:r w:rsidRPr="009C4182">
              <w:rPr>
                <w:rFonts w:eastAsiaTheme="majorEastAsia" w:cs="Arial"/>
                <w:color w:val="000000" w:themeColor="text1"/>
                <w:sz w:val="20"/>
                <w:szCs w:val="24"/>
                <w:lang w:val="fi-FI"/>
              </w:rPr>
              <w:t xml:space="preserve">: </w:t>
            </w:r>
            <w:r w:rsidR="001D7EE0" w:rsidRPr="001D7EE0">
              <w:rPr>
                <w:rFonts w:eastAsiaTheme="majorEastAsia" w:cs="Arial"/>
                <w:color w:val="000000" w:themeColor="text1"/>
                <w:sz w:val="20"/>
                <w:szCs w:val="24"/>
                <w:lang w:val="fi-FI"/>
              </w:rPr>
              <w:t>(+48 22) </w:t>
            </w:r>
            <w:r w:rsidRPr="009C4182">
              <w:rPr>
                <w:rFonts w:eastAsiaTheme="majorEastAsia" w:cs="Arial"/>
                <w:color w:val="000000" w:themeColor="text1"/>
                <w:sz w:val="20"/>
                <w:szCs w:val="24"/>
                <w:lang w:val="fi-FI"/>
              </w:rPr>
              <w:t>464 23 15</w:t>
            </w:r>
          </w:p>
        </w:tc>
        <w:tc>
          <w:tcPr>
            <w:tcW w:w="4927" w:type="dxa"/>
          </w:tcPr>
          <w:p w:rsidR="009C4182" w:rsidRPr="004961CE" w:rsidRDefault="001D7EE0" w:rsidP="009C4182">
            <w:pPr>
              <w:spacing w:before="0" w:line="276" w:lineRule="auto"/>
              <w:rPr>
                <w:rFonts w:cs="Arial"/>
                <w:b/>
                <w:sz w:val="20"/>
                <w:lang w:val="en-US"/>
              </w:rPr>
            </w:pPr>
            <w:r w:rsidRPr="004961CE">
              <w:rPr>
                <w:rFonts w:cs="Arial"/>
                <w:sz w:val="20"/>
                <w:lang w:val="en-US"/>
              </w:rPr>
              <w:t>Issued by</w:t>
            </w:r>
            <w:r w:rsidR="009C4182" w:rsidRPr="004961CE">
              <w:rPr>
                <w:rFonts w:cs="Arial"/>
                <w:sz w:val="20"/>
                <w:lang w:val="en-US"/>
              </w:rPr>
              <w:t>:</w:t>
            </w:r>
            <w:r w:rsidR="009C4182" w:rsidRPr="004961CE">
              <w:rPr>
                <w:rFonts w:cs="Arial"/>
                <w:sz w:val="20"/>
                <w:lang w:val="en-US"/>
              </w:rPr>
              <w:br/>
            </w:r>
            <w:r w:rsidRPr="004961CE">
              <w:rPr>
                <w:rFonts w:cs="Arial"/>
                <w:b/>
                <w:sz w:val="20"/>
                <w:lang w:val="en-US"/>
              </w:rPr>
              <w:t>Statistical Information Centre</w:t>
            </w:r>
          </w:p>
          <w:p w:rsidR="009C4182" w:rsidRPr="004961CE" w:rsidRDefault="009C4182" w:rsidP="009C4182">
            <w:pPr>
              <w:keepNext/>
              <w:keepLines/>
              <w:spacing w:before="0" w:after="0" w:line="240" w:lineRule="auto"/>
              <w:outlineLvl w:val="2"/>
              <w:rPr>
                <w:rFonts w:eastAsiaTheme="majorEastAsia" w:cs="Arial"/>
                <w:b/>
                <w:sz w:val="20"/>
                <w:szCs w:val="28"/>
                <w:lang w:val="en-US"/>
              </w:rPr>
            </w:pPr>
            <w:r w:rsidRPr="004961CE">
              <w:rPr>
                <w:rFonts w:eastAsiaTheme="majorEastAsia" w:cs="Arial"/>
                <w:b/>
                <w:sz w:val="20"/>
                <w:szCs w:val="28"/>
                <w:lang w:val="en-US"/>
              </w:rPr>
              <w:t>Marcin Kałuski</w:t>
            </w:r>
          </w:p>
          <w:p w:rsidR="009C4182" w:rsidRPr="009C4182" w:rsidRDefault="009C4182" w:rsidP="009C4182">
            <w:pPr>
              <w:keepNext/>
              <w:keepLines/>
              <w:spacing w:before="0" w:after="0" w:line="240" w:lineRule="auto"/>
              <w:outlineLvl w:val="2"/>
              <w:rPr>
                <w:rFonts w:eastAsiaTheme="majorEastAsia" w:cs="Arial"/>
                <w:sz w:val="20"/>
                <w:szCs w:val="24"/>
                <w:lang w:val="fi-FI"/>
              </w:rPr>
            </w:pPr>
            <w:r w:rsidRPr="009C4182">
              <w:rPr>
                <w:rFonts w:eastAsiaTheme="majorEastAsia" w:cs="Arial"/>
                <w:sz w:val="20"/>
                <w:szCs w:val="24"/>
                <w:lang w:val="fi-FI"/>
              </w:rPr>
              <w:t>Tel</w:t>
            </w:r>
            <w:r w:rsidR="00B142B0">
              <w:rPr>
                <w:rFonts w:eastAsiaTheme="majorEastAsia" w:cs="Arial"/>
                <w:sz w:val="20"/>
                <w:szCs w:val="24"/>
                <w:lang w:val="fi-FI"/>
              </w:rPr>
              <w:t>.</w:t>
            </w:r>
            <w:r w:rsidRPr="009C4182">
              <w:rPr>
                <w:rFonts w:eastAsiaTheme="majorEastAsia" w:cs="Arial"/>
                <w:sz w:val="20"/>
                <w:szCs w:val="24"/>
                <w:lang w:val="fi-FI"/>
              </w:rPr>
              <w:t xml:space="preserve">: </w:t>
            </w:r>
            <w:r w:rsidR="001D7EE0" w:rsidRPr="001D7EE0">
              <w:rPr>
                <w:rFonts w:eastAsiaTheme="majorEastAsia" w:cs="Arial"/>
                <w:sz w:val="20"/>
                <w:szCs w:val="24"/>
                <w:lang w:val="fi-FI"/>
              </w:rPr>
              <w:t>(+48 22) </w:t>
            </w:r>
            <w:r w:rsidRPr="009C4182">
              <w:rPr>
                <w:rFonts w:eastAsiaTheme="majorEastAsia" w:cs="Arial"/>
                <w:sz w:val="20"/>
                <w:szCs w:val="24"/>
                <w:lang w:val="fi-FI"/>
              </w:rPr>
              <w:t>464 20 91</w:t>
            </w:r>
          </w:p>
          <w:p w:rsidR="009C4182" w:rsidRPr="009C4182" w:rsidRDefault="009C4182" w:rsidP="009C4182">
            <w:pPr>
              <w:spacing w:line="240" w:lineRule="exact"/>
              <w:rPr>
                <w:sz w:val="18"/>
              </w:rPr>
            </w:pPr>
          </w:p>
        </w:tc>
      </w:tr>
      <w:tr w:rsidR="009C4182" w:rsidRPr="00AF2F3F" w:rsidTr="009A40DE">
        <w:trPr>
          <w:trHeight w:val="418"/>
        </w:trPr>
        <w:tc>
          <w:tcPr>
            <w:tcW w:w="4926" w:type="dxa"/>
            <w:vMerge w:val="restart"/>
          </w:tcPr>
          <w:p w:rsidR="009C4182" w:rsidRPr="00B556C8" w:rsidRDefault="001D7EE0" w:rsidP="009C4182">
            <w:pPr>
              <w:spacing w:line="240" w:lineRule="exact"/>
              <w:rPr>
                <w:b/>
                <w:sz w:val="20"/>
                <w:lang w:val="en-GB"/>
              </w:rPr>
            </w:pPr>
            <w:r>
              <w:rPr>
                <w:b/>
                <w:sz w:val="20"/>
                <w:lang w:val="en-GB"/>
              </w:rPr>
              <w:t>Press office</w:t>
            </w:r>
          </w:p>
          <w:p w:rsidR="009C4182" w:rsidRPr="00B556C8" w:rsidRDefault="009C4182" w:rsidP="009C4182">
            <w:pPr>
              <w:spacing w:line="240" w:lineRule="exact"/>
              <w:rPr>
                <w:sz w:val="20"/>
                <w:lang w:val="en-GB"/>
              </w:rPr>
            </w:pPr>
            <w:r w:rsidRPr="00B556C8">
              <w:rPr>
                <w:sz w:val="20"/>
                <w:lang w:val="en-GB"/>
              </w:rPr>
              <w:t>Tel</w:t>
            </w:r>
            <w:r w:rsidR="00B142B0" w:rsidRPr="00B556C8">
              <w:rPr>
                <w:sz w:val="20"/>
                <w:lang w:val="en-GB"/>
              </w:rPr>
              <w:t>.</w:t>
            </w:r>
            <w:r w:rsidRPr="00B556C8">
              <w:rPr>
                <w:sz w:val="20"/>
                <w:lang w:val="en-GB"/>
              </w:rPr>
              <w:t xml:space="preserve">: </w:t>
            </w:r>
            <w:r w:rsidR="001D7EE0" w:rsidRPr="001D7EE0">
              <w:rPr>
                <w:sz w:val="20"/>
                <w:lang w:val="fi-FI"/>
              </w:rPr>
              <w:t>(+48 22) </w:t>
            </w:r>
            <w:r w:rsidRPr="00B556C8">
              <w:rPr>
                <w:sz w:val="20"/>
                <w:lang w:val="en-GB"/>
              </w:rPr>
              <w:t>464 20 91</w:t>
            </w:r>
          </w:p>
          <w:p w:rsidR="009C4182" w:rsidRPr="009C4182" w:rsidRDefault="009C4182" w:rsidP="009C4182">
            <w:pPr>
              <w:spacing w:line="240" w:lineRule="exact"/>
              <w:rPr>
                <w:sz w:val="18"/>
                <w:lang w:val="en-US"/>
              </w:rPr>
            </w:pPr>
            <w:r w:rsidRPr="00B556C8">
              <w:rPr>
                <w:b/>
                <w:sz w:val="20"/>
                <w:lang w:val="en-GB"/>
              </w:rPr>
              <w:t>e-mail:</w:t>
            </w:r>
            <w:r w:rsidRPr="00B556C8">
              <w:rPr>
                <w:sz w:val="20"/>
                <w:lang w:val="en-GB"/>
              </w:rPr>
              <w:t xml:space="preserve"> </w:t>
            </w:r>
            <w:hyperlink r:id="rId24" w:tooltip="Link do maila: m.kaluski@stat. gov.pl" w:history="1">
              <w:r w:rsidRPr="009C4182">
                <w:rPr>
                  <w:b/>
                  <w:u w:val="single"/>
                  <w:lang w:val="en-GB"/>
                </w:rPr>
                <w:t>m.kaluski@stat. gov.pl</w:t>
              </w:r>
            </w:hyperlink>
          </w:p>
        </w:tc>
        <w:tc>
          <w:tcPr>
            <w:tcW w:w="4927" w:type="dxa"/>
            <w:vAlign w:val="center"/>
          </w:tcPr>
          <w:p w:rsidR="009C4182" w:rsidRPr="001D7EE0" w:rsidRDefault="009C4182" w:rsidP="009C4182">
            <w:pPr>
              <w:spacing w:line="240" w:lineRule="exact"/>
              <w:ind w:firstLine="680"/>
              <w:rPr>
                <w:sz w:val="18"/>
              </w:rPr>
            </w:pPr>
            <w:r w:rsidRPr="00B142B0">
              <w:rPr>
                <w:noProof/>
                <w:sz w:val="20"/>
                <w:lang w:eastAsia="pl-PL"/>
              </w:rPr>
              <w:drawing>
                <wp:anchor distT="0" distB="0" distL="114300" distR="114300" simplePos="0" relativeHeight="252109824" behindDoc="0" locked="0" layoutInCell="1" allowOverlap="1" wp14:anchorId="28966211" wp14:editId="2C3D0197">
                  <wp:simplePos x="0" y="0"/>
                  <wp:positionH relativeFrom="column">
                    <wp:posOffset>78740</wp:posOffset>
                  </wp:positionH>
                  <wp:positionV relativeFrom="paragraph">
                    <wp:posOffset>21590</wp:posOffset>
                  </wp:positionV>
                  <wp:extent cx="251460" cy="251460"/>
                  <wp:effectExtent l="0" t="0" r="0" b="0"/>
                  <wp:wrapNone/>
                  <wp:docPr id="21" name="Obraz 21" descr="Website icon" title="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26" w:tooltip="Link do strony Urzędu Statystycznego w Warszawie" w:history="1">
              <w:r w:rsidRPr="001D7EE0">
                <w:rPr>
                  <w:sz w:val="20"/>
                  <w:u w:val="single"/>
                </w:rPr>
                <w:t>warszawa.stat.gov.pl</w:t>
              </w:r>
            </w:hyperlink>
            <w:r w:rsidR="001D7EE0" w:rsidRPr="001D7EE0">
              <w:rPr>
                <w:sz w:val="20"/>
                <w:u w:val="single"/>
              </w:rPr>
              <w:t>/en/</w:t>
            </w:r>
          </w:p>
        </w:tc>
      </w:tr>
      <w:tr w:rsidR="009C4182" w:rsidRPr="009C4182" w:rsidTr="009A40DE">
        <w:trPr>
          <w:trHeight w:val="418"/>
        </w:trPr>
        <w:tc>
          <w:tcPr>
            <w:tcW w:w="4926" w:type="dxa"/>
            <w:vMerge/>
          </w:tcPr>
          <w:p w:rsidR="009C4182" w:rsidRPr="001D7EE0" w:rsidRDefault="009C4182" w:rsidP="009C4182">
            <w:pPr>
              <w:spacing w:line="240" w:lineRule="exact"/>
              <w:rPr>
                <w:b/>
                <w:sz w:val="20"/>
              </w:rPr>
            </w:pPr>
          </w:p>
        </w:tc>
        <w:tc>
          <w:tcPr>
            <w:tcW w:w="4927" w:type="dxa"/>
            <w:vAlign w:val="center"/>
          </w:tcPr>
          <w:p w:rsidR="009C4182" w:rsidRPr="00B142B0" w:rsidRDefault="009C4182" w:rsidP="009C4182">
            <w:pPr>
              <w:spacing w:line="240" w:lineRule="exact"/>
              <w:ind w:firstLine="680"/>
              <w:rPr>
                <w:sz w:val="18"/>
              </w:rPr>
            </w:pPr>
            <w:r w:rsidRPr="00B142B0">
              <w:rPr>
                <w:noProof/>
                <w:sz w:val="20"/>
                <w:lang w:eastAsia="pl-PL"/>
              </w:rPr>
              <w:drawing>
                <wp:anchor distT="0" distB="0" distL="114300" distR="114300" simplePos="0" relativeHeight="252110848" behindDoc="0" locked="0" layoutInCell="1" allowOverlap="1" wp14:anchorId="3B72C869" wp14:editId="3D7F33B8">
                  <wp:simplePos x="0" y="0"/>
                  <wp:positionH relativeFrom="column">
                    <wp:posOffset>78740</wp:posOffset>
                  </wp:positionH>
                  <wp:positionV relativeFrom="paragraph">
                    <wp:posOffset>21590</wp:posOffset>
                  </wp:positionV>
                  <wp:extent cx="251460" cy="251460"/>
                  <wp:effectExtent l="0" t="0" r="0" b="0"/>
                  <wp:wrapNone/>
                  <wp:docPr id="22" name="Obraz 22" descr="Twitter icon" title="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28" w:tooltip="Link do twittera" w:history="1">
              <w:r w:rsidR="00126280">
                <w:rPr>
                  <w:sz w:val="20"/>
                  <w:u w:val="single"/>
                </w:rPr>
                <w:t>@</w:t>
              </w:r>
              <w:proofErr w:type="spellStart"/>
              <w:r w:rsidR="00126280">
                <w:rPr>
                  <w:sz w:val="20"/>
                  <w:u w:val="single"/>
                </w:rPr>
                <w:t>Warszawa</w:t>
              </w:r>
              <w:r w:rsidRPr="00B142B0">
                <w:rPr>
                  <w:sz w:val="20"/>
                  <w:u w:val="single"/>
                </w:rPr>
                <w:t>_STAT</w:t>
              </w:r>
              <w:proofErr w:type="spellEnd"/>
            </w:hyperlink>
          </w:p>
        </w:tc>
      </w:tr>
      <w:tr w:rsidR="009C4182" w:rsidRPr="009C4182" w:rsidTr="009A40DE">
        <w:trPr>
          <w:trHeight w:val="476"/>
        </w:trPr>
        <w:tc>
          <w:tcPr>
            <w:tcW w:w="4926" w:type="dxa"/>
            <w:vMerge/>
          </w:tcPr>
          <w:p w:rsidR="009C4182" w:rsidRPr="009C4182" w:rsidRDefault="009C4182" w:rsidP="009C4182">
            <w:pPr>
              <w:spacing w:line="240" w:lineRule="exact"/>
              <w:rPr>
                <w:b/>
                <w:sz w:val="20"/>
              </w:rPr>
            </w:pPr>
          </w:p>
        </w:tc>
        <w:tc>
          <w:tcPr>
            <w:tcW w:w="4927" w:type="dxa"/>
          </w:tcPr>
          <w:p w:rsidR="009C4182" w:rsidRPr="00B142B0" w:rsidRDefault="009C4182" w:rsidP="009C4182">
            <w:pPr>
              <w:spacing w:line="240" w:lineRule="exact"/>
              <w:ind w:firstLine="680"/>
              <w:rPr>
                <w:sz w:val="18"/>
              </w:rPr>
            </w:pPr>
            <w:r w:rsidRPr="00B142B0">
              <w:rPr>
                <w:noProof/>
                <w:sz w:val="20"/>
                <w:lang w:eastAsia="pl-PL"/>
              </w:rPr>
              <w:drawing>
                <wp:anchor distT="0" distB="0" distL="114300" distR="114300" simplePos="0" relativeHeight="252111872" behindDoc="0" locked="0" layoutInCell="1" allowOverlap="1" wp14:anchorId="53EFEFEF" wp14:editId="36D498B7">
                  <wp:simplePos x="0" y="0"/>
                  <wp:positionH relativeFrom="column">
                    <wp:posOffset>80645</wp:posOffset>
                  </wp:positionH>
                  <wp:positionV relativeFrom="paragraph">
                    <wp:posOffset>13970</wp:posOffset>
                  </wp:positionV>
                  <wp:extent cx="251460" cy="251460"/>
                  <wp:effectExtent l="0" t="0" r="0" b="0"/>
                  <wp:wrapNone/>
                  <wp:docPr id="26" name="Obraz 26" descr="Facebook icon" title="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30" w:tooltip="Link do facebooka" w:history="1">
              <w:r w:rsidRPr="00B142B0">
                <w:rPr>
                  <w:sz w:val="20"/>
                  <w:u w:val="single"/>
                </w:rPr>
                <w:t>@</w:t>
              </w:r>
              <w:proofErr w:type="spellStart"/>
              <w:r w:rsidRPr="00B142B0">
                <w:rPr>
                  <w:sz w:val="20"/>
                  <w:u w:val="single"/>
                </w:rPr>
                <w:t>UrzadStatystycznywWarszawie</w:t>
              </w:r>
              <w:proofErr w:type="spellEnd"/>
            </w:hyperlink>
          </w:p>
        </w:tc>
      </w:tr>
      <w:tr w:rsidR="009C4182" w:rsidRPr="009C4182" w:rsidTr="009A40DE">
        <w:trPr>
          <w:trHeight w:val="476"/>
        </w:trPr>
        <w:tc>
          <w:tcPr>
            <w:tcW w:w="4926" w:type="dxa"/>
          </w:tcPr>
          <w:p w:rsidR="009C4182" w:rsidRPr="009C4182" w:rsidRDefault="009C4182" w:rsidP="009C4182">
            <w:pPr>
              <w:spacing w:line="240" w:lineRule="exact"/>
              <w:rPr>
                <w:b/>
                <w:sz w:val="20"/>
              </w:rPr>
            </w:pPr>
          </w:p>
        </w:tc>
        <w:tc>
          <w:tcPr>
            <w:tcW w:w="4927" w:type="dxa"/>
          </w:tcPr>
          <w:p w:rsidR="009C4182" w:rsidRPr="00B142B0" w:rsidRDefault="002E58AF" w:rsidP="009C4182">
            <w:pPr>
              <w:spacing w:line="240" w:lineRule="exact"/>
              <w:ind w:firstLine="680"/>
              <w:rPr>
                <w:sz w:val="20"/>
              </w:rPr>
            </w:pPr>
            <w:hyperlink r:id="rId31" w:tooltip="Link do instagrama" w:history="1">
              <w:r w:rsidR="009C4182" w:rsidRPr="00B142B0">
                <w:rPr>
                  <w:noProof/>
                  <w:sz w:val="20"/>
                  <w:u w:val="single"/>
                  <w:lang w:eastAsia="pl-PL"/>
                </w:rPr>
                <w:drawing>
                  <wp:anchor distT="0" distB="0" distL="114300" distR="114300" simplePos="0" relativeHeight="252112896" behindDoc="0" locked="0" layoutInCell="1" allowOverlap="1" wp14:anchorId="14F365BF" wp14:editId="58930BE1">
                    <wp:simplePos x="0" y="0"/>
                    <wp:positionH relativeFrom="column">
                      <wp:posOffset>82550</wp:posOffset>
                    </wp:positionH>
                    <wp:positionV relativeFrom="paragraph">
                      <wp:posOffset>12700</wp:posOffset>
                    </wp:positionV>
                    <wp:extent cx="251460" cy="251460"/>
                    <wp:effectExtent l="0" t="0" r="0" b="0"/>
                    <wp:wrapNone/>
                    <wp:docPr id="27" name="Obraz 27" descr="Instagram icon" title="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C4182" w:rsidRPr="00B142B0">
                <w:rPr>
                  <w:sz w:val="20"/>
                  <w:u w:val="single"/>
                </w:rPr>
                <w:t>gus_stat</w:t>
              </w:r>
              <w:proofErr w:type="spellEnd"/>
            </w:hyperlink>
          </w:p>
        </w:tc>
      </w:tr>
      <w:tr w:rsidR="009C4182" w:rsidRPr="009C4182" w:rsidTr="009A40DE">
        <w:trPr>
          <w:trHeight w:val="476"/>
        </w:trPr>
        <w:tc>
          <w:tcPr>
            <w:tcW w:w="4926" w:type="dxa"/>
          </w:tcPr>
          <w:p w:rsidR="009C4182" w:rsidRPr="009C4182" w:rsidRDefault="009C4182" w:rsidP="009C4182">
            <w:pPr>
              <w:spacing w:line="240" w:lineRule="exact"/>
              <w:rPr>
                <w:b/>
                <w:sz w:val="20"/>
              </w:rPr>
            </w:pPr>
          </w:p>
        </w:tc>
        <w:tc>
          <w:tcPr>
            <w:tcW w:w="4927" w:type="dxa"/>
          </w:tcPr>
          <w:p w:rsidR="009C4182" w:rsidRPr="00B142B0" w:rsidRDefault="009C4182" w:rsidP="009C4182">
            <w:pPr>
              <w:spacing w:line="240" w:lineRule="exact"/>
              <w:ind w:firstLine="680"/>
              <w:rPr>
                <w:sz w:val="20"/>
              </w:rPr>
            </w:pPr>
            <w:r w:rsidRPr="00B142B0">
              <w:rPr>
                <w:noProof/>
                <w:sz w:val="20"/>
                <w:lang w:eastAsia="pl-PL"/>
              </w:rPr>
              <w:drawing>
                <wp:anchor distT="0" distB="0" distL="114300" distR="114300" simplePos="0" relativeHeight="252113920" behindDoc="0" locked="0" layoutInCell="1" allowOverlap="1" wp14:anchorId="1C3B991F" wp14:editId="356E00B2">
                  <wp:simplePos x="0" y="0"/>
                  <wp:positionH relativeFrom="column">
                    <wp:posOffset>82550</wp:posOffset>
                  </wp:positionH>
                  <wp:positionV relativeFrom="paragraph">
                    <wp:posOffset>13970</wp:posOffset>
                  </wp:positionV>
                  <wp:extent cx="251460" cy="251460"/>
                  <wp:effectExtent l="0" t="0" r="0" b="0"/>
                  <wp:wrapNone/>
                  <wp:docPr id="29" name="Obraz 29" descr="Youtube icon" title="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34" w:tooltip="Link do youtube" w:history="1">
              <w:proofErr w:type="spellStart"/>
              <w:r w:rsidRPr="00B142B0">
                <w:rPr>
                  <w:sz w:val="20"/>
                  <w:u w:val="single"/>
                </w:rPr>
                <w:t>glownyurzadstatystycznygus</w:t>
              </w:r>
              <w:proofErr w:type="spellEnd"/>
            </w:hyperlink>
          </w:p>
        </w:tc>
      </w:tr>
      <w:tr w:rsidR="009C4182" w:rsidRPr="009C4182" w:rsidTr="009A40DE">
        <w:trPr>
          <w:trHeight w:val="953"/>
        </w:trPr>
        <w:tc>
          <w:tcPr>
            <w:tcW w:w="4926" w:type="dxa"/>
          </w:tcPr>
          <w:p w:rsidR="009C4182" w:rsidRPr="009C4182" w:rsidRDefault="009C4182" w:rsidP="009C4182">
            <w:pPr>
              <w:spacing w:line="240" w:lineRule="exact"/>
              <w:rPr>
                <w:b/>
                <w:sz w:val="20"/>
              </w:rPr>
            </w:pPr>
          </w:p>
        </w:tc>
        <w:tc>
          <w:tcPr>
            <w:tcW w:w="4927" w:type="dxa"/>
          </w:tcPr>
          <w:p w:rsidR="009C4182" w:rsidRPr="00B142B0" w:rsidRDefault="002E58AF" w:rsidP="009C4182">
            <w:pPr>
              <w:spacing w:line="240" w:lineRule="exact"/>
              <w:ind w:firstLine="680"/>
              <w:rPr>
                <w:sz w:val="20"/>
              </w:rPr>
            </w:pPr>
            <w:hyperlink r:id="rId35" w:tooltip="Link do linkedin" w:history="1">
              <w:r w:rsidR="009C4182" w:rsidRPr="00B142B0">
                <w:rPr>
                  <w:noProof/>
                  <w:sz w:val="20"/>
                  <w:u w:val="single"/>
                  <w:lang w:eastAsia="pl-PL"/>
                </w:rPr>
                <w:t>glownyurzadstatystyczny</w:t>
              </w:r>
            </w:hyperlink>
            <w:r w:rsidR="009C4182" w:rsidRPr="00B142B0">
              <w:rPr>
                <w:noProof/>
                <w:sz w:val="20"/>
                <w:lang w:eastAsia="pl-PL"/>
              </w:rPr>
              <w:drawing>
                <wp:anchor distT="0" distB="0" distL="114300" distR="114300" simplePos="0" relativeHeight="252114944" behindDoc="0" locked="0" layoutInCell="1" allowOverlap="1" wp14:anchorId="581D7C9D" wp14:editId="7E42659A">
                  <wp:simplePos x="0" y="0"/>
                  <wp:positionH relativeFrom="column">
                    <wp:posOffset>82550</wp:posOffset>
                  </wp:positionH>
                  <wp:positionV relativeFrom="paragraph">
                    <wp:posOffset>15240</wp:posOffset>
                  </wp:positionV>
                  <wp:extent cx="251460" cy="251460"/>
                  <wp:effectExtent l="0" t="0" r="0" b="0"/>
                  <wp:wrapNone/>
                  <wp:docPr id="30" name="Obraz 30" descr="Linkedin icon" title="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bl>
    <w:p w:rsidR="00D261A2" w:rsidRPr="00001C5B" w:rsidRDefault="002A5486" w:rsidP="00E76D26">
      <w:pPr>
        <w:rPr>
          <w:sz w:val="18"/>
        </w:rPr>
      </w:pPr>
      <w:r>
        <w:rPr>
          <w:noProof/>
          <w:sz w:val="18"/>
          <w:lang w:eastAsia="pl-PL"/>
        </w:rPr>
        <w:drawing>
          <wp:anchor distT="0" distB="0" distL="114300" distR="114300" simplePos="0" relativeHeight="252135424" behindDoc="0" locked="0" layoutInCell="1" allowOverlap="1" wp14:anchorId="1A3AC02D" wp14:editId="5AEB5005">
            <wp:simplePos x="0" y="0"/>
            <wp:positionH relativeFrom="column">
              <wp:posOffset>4495800</wp:posOffset>
            </wp:positionH>
            <wp:positionV relativeFrom="page">
              <wp:posOffset>4394200</wp:posOffset>
            </wp:positionV>
            <wp:extent cx="2037080" cy="882015"/>
            <wp:effectExtent l="0" t="0" r="1270" b="0"/>
            <wp:wrapTopAndBottom/>
            <wp:docPr id="39" name="Obraz 39" descr="Evaluate the study" title="Evaluate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7080" cy="882015"/>
                    </a:xfrm>
                    <a:prstGeom prst="rect">
                      <a:avLst/>
                    </a:prstGeom>
                    <a:noFill/>
                  </pic:spPr>
                </pic:pic>
              </a:graphicData>
            </a:graphic>
          </wp:anchor>
        </w:drawing>
      </w:r>
      <w:r w:rsidR="001448A7" w:rsidRPr="00001C5B">
        <w:rPr>
          <w:noProof/>
          <w:sz w:val="18"/>
          <w:lang w:eastAsia="pl-PL"/>
        </w:rPr>
        <mc:AlternateContent>
          <mc:Choice Requires="wps">
            <w:drawing>
              <wp:anchor distT="45720" distB="45720" distL="114300" distR="114300" simplePos="0" relativeHeight="251691008" behindDoc="0" locked="0" layoutInCell="1" allowOverlap="1" wp14:anchorId="279CAD2D" wp14:editId="67D5897F">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rgbClr val="F2F2F2"/>
                        </a:solidFill>
                        <a:ln w="9525">
                          <a:solidFill>
                            <a:schemeClr val="bg1"/>
                          </a:solidFill>
                          <a:miter lim="800000"/>
                          <a:headEnd/>
                          <a:tailEnd/>
                        </a:ln>
                      </wps:spPr>
                      <wps:txbx>
                        <w:txbxContent>
                          <w:p w:rsidR="00091E87" w:rsidRPr="004961CE" w:rsidRDefault="001D7EE0" w:rsidP="00AB6D25">
                            <w:pPr>
                              <w:rPr>
                                <w:b/>
                                <w:lang w:val="en-US"/>
                              </w:rPr>
                            </w:pPr>
                            <w:r w:rsidRPr="004961CE">
                              <w:rPr>
                                <w:b/>
                                <w:lang w:val="en-US"/>
                              </w:rPr>
                              <w:t>Related information</w:t>
                            </w:r>
                          </w:p>
                          <w:p w:rsidR="00091E87" w:rsidRPr="004961CE" w:rsidRDefault="00091E87" w:rsidP="00AB6D25">
                            <w:pPr>
                              <w:rPr>
                                <w:rStyle w:val="Hipercze"/>
                                <w:rFonts w:cstheme="minorBidi"/>
                                <w:color w:val="001D77"/>
                                <w:sz w:val="18"/>
                                <w:szCs w:val="18"/>
                                <w:lang w:val="en-US"/>
                              </w:rPr>
                            </w:pPr>
                            <w:r w:rsidRPr="00592C55">
                              <w:rPr>
                                <w:color w:val="001D77"/>
                                <w:sz w:val="18"/>
                                <w:szCs w:val="18"/>
                              </w:rPr>
                              <w:fldChar w:fldCharType="begin"/>
                            </w:r>
                            <w:r w:rsidR="002A5486" w:rsidRPr="004961CE">
                              <w:rPr>
                                <w:color w:val="001D77"/>
                                <w:sz w:val="18"/>
                                <w:szCs w:val="18"/>
                                <w:lang w:val="en-US"/>
                              </w:rPr>
                              <w:instrText>HYPERLINK "https://stat.gov.pl/obszary-tematyczne/rynek-pracy/zasady-metodyczne-rocznik-pracy/zeszyt-metodologiczny-badanie-aktywnosci-ekonomicznej-ludnosci,3,1.html" \o "Methodological report. Labour Force Survey"</w:instrText>
                            </w:r>
                            <w:r w:rsidRPr="00592C55">
                              <w:rPr>
                                <w:color w:val="001D77"/>
                                <w:sz w:val="18"/>
                                <w:szCs w:val="18"/>
                              </w:rPr>
                              <w:fldChar w:fldCharType="separate"/>
                            </w:r>
                            <w:r w:rsidR="002A5486" w:rsidRPr="004961CE">
                              <w:rPr>
                                <w:rStyle w:val="Hipercze"/>
                                <w:rFonts w:cstheme="minorBidi"/>
                                <w:color w:val="001D77"/>
                                <w:sz w:val="18"/>
                                <w:szCs w:val="18"/>
                                <w:lang w:val="en-US"/>
                              </w:rPr>
                              <w:t>M</w:t>
                            </w:r>
                            <w:r w:rsidRPr="004961CE">
                              <w:rPr>
                                <w:rStyle w:val="Hipercze"/>
                                <w:rFonts w:cstheme="minorBidi"/>
                                <w:color w:val="001D77"/>
                                <w:sz w:val="18"/>
                                <w:szCs w:val="18"/>
                                <w:lang w:val="en-US"/>
                              </w:rPr>
                              <w:t>et</w:t>
                            </w:r>
                            <w:r w:rsidR="002A5486" w:rsidRPr="004961CE">
                              <w:rPr>
                                <w:rStyle w:val="Hipercze"/>
                                <w:rFonts w:cstheme="minorBidi"/>
                                <w:color w:val="001D77"/>
                                <w:sz w:val="18"/>
                                <w:szCs w:val="18"/>
                                <w:lang w:val="en-US"/>
                              </w:rPr>
                              <w:t>hodological report</w:t>
                            </w:r>
                            <w:r w:rsidRPr="004961CE">
                              <w:rPr>
                                <w:rStyle w:val="Hipercze"/>
                                <w:rFonts w:cstheme="minorBidi"/>
                                <w:color w:val="001D77"/>
                                <w:sz w:val="18"/>
                                <w:szCs w:val="18"/>
                                <w:lang w:val="en-US"/>
                              </w:rPr>
                              <w:t xml:space="preserve">. </w:t>
                            </w:r>
                            <w:proofErr w:type="spellStart"/>
                            <w:r w:rsidR="002A5486" w:rsidRPr="004961CE">
                              <w:rPr>
                                <w:rStyle w:val="Hipercze"/>
                                <w:rFonts w:cstheme="minorBidi"/>
                                <w:color w:val="001D77"/>
                                <w:sz w:val="18"/>
                                <w:szCs w:val="18"/>
                                <w:lang w:val="en-US"/>
                              </w:rPr>
                              <w:t>Labour</w:t>
                            </w:r>
                            <w:proofErr w:type="spellEnd"/>
                            <w:r w:rsidR="002A5486" w:rsidRPr="004961CE">
                              <w:rPr>
                                <w:rStyle w:val="Hipercze"/>
                                <w:rFonts w:cstheme="minorBidi"/>
                                <w:color w:val="001D77"/>
                                <w:sz w:val="18"/>
                                <w:szCs w:val="18"/>
                                <w:lang w:val="en-US"/>
                              </w:rPr>
                              <w:t xml:space="preserve"> force survey</w:t>
                            </w:r>
                          </w:p>
                          <w:p w:rsidR="002A5486" w:rsidRDefault="00091E87" w:rsidP="00E7710D">
                            <w:pPr>
                              <w:rPr>
                                <w:rFonts w:cs="Arial"/>
                                <w:color w:val="001D77"/>
                                <w:sz w:val="18"/>
                                <w:szCs w:val="30"/>
                                <w:u w:val="single"/>
                                <w:shd w:val="clear" w:color="auto" w:fill="F0F0F0"/>
                                <w:lang w:val="en-US"/>
                              </w:rPr>
                            </w:pPr>
                            <w:r w:rsidRPr="00592C55">
                              <w:rPr>
                                <w:color w:val="001D77"/>
                                <w:sz w:val="18"/>
                                <w:szCs w:val="18"/>
                              </w:rPr>
                              <w:fldChar w:fldCharType="end"/>
                            </w:r>
                            <w:hyperlink r:id="rId38" w:tooltip="Link to Labour Force Survey in Poland" w:history="1">
                              <w:proofErr w:type="spellStart"/>
                              <w:r w:rsidR="002A5486">
                                <w:rPr>
                                  <w:rStyle w:val="Hipercze"/>
                                  <w:rFonts w:cs="Arial"/>
                                  <w:color w:val="001D77"/>
                                  <w:sz w:val="18"/>
                                  <w:szCs w:val="30"/>
                                  <w:shd w:val="clear" w:color="auto" w:fill="F0F0F0"/>
                                  <w:lang w:val="en-US"/>
                                </w:rPr>
                                <w:t>Labour</w:t>
                              </w:r>
                              <w:proofErr w:type="spellEnd"/>
                              <w:r w:rsidR="002A5486">
                                <w:rPr>
                                  <w:rStyle w:val="Hipercze"/>
                                  <w:rFonts w:cs="Arial"/>
                                  <w:color w:val="001D77"/>
                                  <w:sz w:val="18"/>
                                  <w:szCs w:val="30"/>
                                  <w:shd w:val="clear" w:color="auto" w:fill="F0F0F0"/>
                                  <w:lang w:val="en-US"/>
                                </w:rPr>
                                <w:t xml:space="preserve"> Force Survey in Poland</w:t>
                              </w:r>
                            </w:hyperlink>
                            <w:r w:rsidR="002A5486">
                              <w:rPr>
                                <w:rFonts w:cs="Arial"/>
                                <w:color w:val="001D77"/>
                                <w:sz w:val="18"/>
                                <w:szCs w:val="30"/>
                                <w:u w:val="single"/>
                                <w:shd w:val="clear" w:color="auto" w:fill="F0F0F0"/>
                                <w:lang w:val="en-US"/>
                              </w:rPr>
                              <w:t xml:space="preserve"> </w:t>
                            </w:r>
                          </w:p>
                          <w:p w:rsidR="00091E87" w:rsidRPr="002A5486" w:rsidRDefault="002E58AF" w:rsidP="006B00F4">
                            <w:pPr>
                              <w:rPr>
                                <w:rFonts w:cs="Arial"/>
                                <w:color w:val="001D77"/>
                                <w:sz w:val="18"/>
                                <w:szCs w:val="30"/>
                                <w:u w:val="single"/>
                                <w:shd w:val="clear" w:color="auto" w:fill="F0F0F0"/>
                                <w:lang w:val="en-US"/>
                              </w:rPr>
                            </w:pPr>
                            <w:hyperlink r:id="rId39" w:tooltip="Link to Employed, unemployed and economically inactive persons" w:history="1">
                              <w:r w:rsidR="006B00F4" w:rsidRPr="006B00F4">
                                <w:rPr>
                                  <w:rStyle w:val="Hipercze"/>
                                  <w:rFonts w:cs="Arial"/>
                                  <w:sz w:val="18"/>
                                  <w:szCs w:val="30"/>
                                  <w:shd w:val="clear" w:color="auto" w:fill="F0F0F0"/>
                                  <w:lang w:val="en-US"/>
                                </w:rPr>
                                <w:t>Employed</w:t>
                              </w:r>
                            </w:hyperlink>
                            <w:r w:rsidR="006B00F4" w:rsidRPr="006B00F4">
                              <w:rPr>
                                <w:rFonts w:cs="Arial"/>
                                <w:color w:val="001D77"/>
                                <w:sz w:val="18"/>
                                <w:szCs w:val="30"/>
                                <w:u w:val="single"/>
                                <w:shd w:val="clear" w:color="auto" w:fill="F0F0F0"/>
                                <w:lang w:val="en-US"/>
                              </w:rPr>
                              <w:t>, unemployed and economically inactive persons (preliminary LFS results) in the fourth quarter of 2021</w:t>
                            </w:r>
                          </w:p>
                          <w:p w:rsidR="006B00F4" w:rsidRDefault="006B00F4" w:rsidP="00E7710D">
                            <w:pPr>
                              <w:rPr>
                                <w:b/>
                                <w:color w:val="000000" w:themeColor="text1"/>
                                <w:szCs w:val="24"/>
                                <w:lang w:val="en-US"/>
                              </w:rPr>
                            </w:pPr>
                          </w:p>
                          <w:p w:rsidR="00091E87" w:rsidRPr="002A5486" w:rsidRDefault="001D7EE0" w:rsidP="00E7710D">
                            <w:pPr>
                              <w:rPr>
                                <w:b/>
                                <w:color w:val="000000" w:themeColor="text1"/>
                                <w:szCs w:val="24"/>
                                <w:lang w:val="en-US"/>
                              </w:rPr>
                            </w:pPr>
                            <w:r w:rsidRPr="002A5486">
                              <w:rPr>
                                <w:b/>
                                <w:color w:val="000000" w:themeColor="text1"/>
                                <w:szCs w:val="24"/>
                                <w:lang w:val="en-US"/>
                              </w:rPr>
                              <w:t>Data available in databases</w:t>
                            </w:r>
                          </w:p>
                          <w:p w:rsidR="006B00F4" w:rsidRPr="006B00F4" w:rsidRDefault="006B00F4" w:rsidP="006B00F4">
                            <w:pPr>
                              <w:rPr>
                                <w:color w:val="0000FF"/>
                                <w:sz w:val="18"/>
                                <w:szCs w:val="18"/>
                                <w:u w:val="single"/>
                                <w:lang w:val="en-US"/>
                              </w:rPr>
                            </w:pPr>
                            <w:r w:rsidRPr="006B00F4">
                              <w:rPr>
                                <w:color w:val="002060"/>
                                <w:sz w:val="18"/>
                                <w:szCs w:val="18"/>
                                <w:u w:val="single"/>
                              </w:rPr>
                              <w:fldChar w:fldCharType="begin"/>
                            </w:r>
                            <w:r w:rsidRPr="006B00F4">
                              <w:rPr>
                                <w:color w:val="002060"/>
                                <w:sz w:val="18"/>
                                <w:szCs w:val="18"/>
                                <w:u w:val="single"/>
                              </w:rPr>
                              <w:instrText>HYPERLINK "https://bdl.stat.gov.pl/BDL/dane/podgrup/temat" \o "Local Data Bank  Labour market"</w:instrText>
                            </w:r>
                            <w:r w:rsidRPr="006B00F4">
                              <w:rPr>
                                <w:color w:val="002060"/>
                                <w:sz w:val="18"/>
                                <w:szCs w:val="18"/>
                                <w:u w:val="single"/>
                              </w:rPr>
                              <w:fldChar w:fldCharType="separate"/>
                            </w:r>
                            <w:r w:rsidRPr="006B00F4">
                              <w:rPr>
                                <w:color w:val="0000FF"/>
                                <w:sz w:val="18"/>
                                <w:szCs w:val="18"/>
                                <w:u w:val="single"/>
                              </w:rPr>
                              <w:fldChar w:fldCharType="begin"/>
                            </w:r>
                            <w:r w:rsidRPr="006B00F4">
                              <w:rPr>
                                <w:color w:val="0000FF"/>
                                <w:sz w:val="18"/>
                                <w:szCs w:val="18"/>
                                <w:u w:val="single"/>
                                <w:lang w:val="en-US"/>
                              </w:rPr>
                              <w:instrText>HYPERLINK "https://bdl.stat.gov.pl/BDL/dane/podgrup/temat"</w:instrText>
                            </w:r>
                            <w:r w:rsidRPr="006B00F4">
                              <w:rPr>
                                <w:color w:val="0000FF"/>
                                <w:sz w:val="18"/>
                                <w:szCs w:val="18"/>
                                <w:u w:val="single"/>
                              </w:rPr>
                              <w:fldChar w:fldCharType="separate"/>
                            </w:r>
                            <w:r w:rsidRPr="006B00F4">
                              <w:rPr>
                                <w:color w:val="0000FF"/>
                                <w:sz w:val="18"/>
                                <w:szCs w:val="18"/>
                                <w:u w:val="single"/>
                                <w:lang w:val="en-US"/>
                              </w:rPr>
                              <w:t xml:space="preserve">Local Data Bank </w:t>
                            </w:r>
                            <w:r w:rsidRPr="006B00F4">
                              <w:rPr>
                                <w:color w:val="0000FF"/>
                                <w:sz w:val="18"/>
                                <w:szCs w:val="18"/>
                                <w:u w:val="single"/>
                                <w:lang w:val="en-US"/>
                              </w:rPr>
                              <w:sym w:font="Symbol" w:char="F0AE"/>
                            </w:r>
                            <w:r w:rsidRPr="006B00F4">
                              <w:rPr>
                                <w:color w:val="0000FF"/>
                                <w:sz w:val="18"/>
                                <w:szCs w:val="18"/>
                                <w:u w:val="single"/>
                                <w:lang w:val="en-US"/>
                              </w:rPr>
                              <w:t xml:space="preserve"> Labour market</w:t>
                            </w:r>
                          </w:p>
                          <w:p w:rsidR="00091E87" w:rsidRDefault="006B00F4" w:rsidP="00E7710D">
                            <w:pPr>
                              <w:rPr>
                                <w:color w:val="001D77"/>
                                <w:szCs w:val="24"/>
                              </w:rPr>
                            </w:pPr>
                            <w:r w:rsidRPr="006B00F4">
                              <w:rPr>
                                <w:color w:val="0000FF"/>
                                <w:sz w:val="18"/>
                                <w:szCs w:val="18"/>
                                <w:u w:val="single"/>
                              </w:rPr>
                              <w:fldChar w:fldCharType="end"/>
                            </w:r>
                            <w:r w:rsidRPr="006B00F4">
                              <w:rPr>
                                <w:color w:val="002060"/>
                                <w:sz w:val="18"/>
                                <w:szCs w:val="18"/>
                              </w:rPr>
                              <w:fldChar w:fldCharType="end"/>
                            </w:r>
                          </w:p>
                          <w:p w:rsidR="00091E87" w:rsidRPr="006B00F4" w:rsidRDefault="001D7EE0" w:rsidP="00AB5A6C">
                            <w:pPr>
                              <w:rPr>
                                <w:b/>
                                <w:color w:val="000000" w:themeColor="text1"/>
                                <w:szCs w:val="24"/>
                                <w:lang w:val="en-US"/>
                              </w:rPr>
                            </w:pPr>
                            <w:r w:rsidRPr="006B00F4">
                              <w:rPr>
                                <w:b/>
                                <w:color w:val="000000" w:themeColor="text1"/>
                                <w:szCs w:val="24"/>
                                <w:lang w:val="en-US"/>
                              </w:rPr>
                              <w:t>Terms used in official statistics</w:t>
                            </w:r>
                          </w:p>
                          <w:p w:rsidR="006B00F4" w:rsidRPr="006B00F4" w:rsidRDefault="006B00F4" w:rsidP="006B00F4">
                            <w:pPr>
                              <w:rPr>
                                <w:color w:val="0000FF"/>
                                <w:sz w:val="18"/>
                                <w:szCs w:val="18"/>
                                <w:u w:val="single"/>
                                <w:lang w:val="en-US"/>
                              </w:rPr>
                            </w:pPr>
                            <w:r w:rsidRPr="006B00F4">
                              <w:rPr>
                                <w:color w:val="001D77"/>
                                <w:sz w:val="18"/>
                                <w:szCs w:val="18"/>
                                <w:u w:val="single"/>
                              </w:rPr>
                              <w:fldChar w:fldCharType="begin"/>
                            </w:r>
                            <w:r w:rsidRPr="004961CE">
                              <w:rPr>
                                <w:color w:val="001D77"/>
                                <w:sz w:val="18"/>
                                <w:szCs w:val="18"/>
                                <w:u w:val="single"/>
                                <w:lang w:val="en-US"/>
                              </w:rPr>
                              <w:instrText>HYPERLINK "https://stat.gov.pl/en/metainformation/glossary/terms-used-in-official-statistics/4573,term.html" \o "Link to the dictionary of terms - activity rate by labour force survey"</w:instrText>
                            </w:r>
                            <w:r w:rsidRPr="006B00F4">
                              <w:rPr>
                                <w:color w:val="001D77"/>
                                <w:sz w:val="18"/>
                                <w:szCs w:val="18"/>
                                <w:u w:val="single"/>
                              </w:rPr>
                              <w:fldChar w:fldCharType="separate"/>
                            </w:r>
                            <w:r w:rsidRPr="006B00F4">
                              <w:rPr>
                                <w:color w:val="0000FF"/>
                                <w:sz w:val="18"/>
                                <w:szCs w:val="18"/>
                                <w:u w:val="single"/>
                                <w:lang w:val="en-US"/>
                              </w:rPr>
                              <w:t>Activity rate by LFS</w:t>
                            </w:r>
                          </w:p>
                          <w:p w:rsidR="006B00F4" w:rsidRPr="006B00F4" w:rsidRDefault="006B00F4" w:rsidP="006B00F4">
                            <w:pPr>
                              <w:rPr>
                                <w:color w:val="001D77"/>
                                <w:sz w:val="18"/>
                                <w:szCs w:val="18"/>
                                <w:u w:val="single"/>
                                <w:lang w:val="en-US"/>
                              </w:rPr>
                            </w:pPr>
                            <w:r w:rsidRPr="006B00F4">
                              <w:rPr>
                                <w:color w:val="001D77"/>
                                <w:sz w:val="18"/>
                                <w:szCs w:val="18"/>
                                <w:u w:val="single"/>
                              </w:rPr>
                              <w:fldChar w:fldCharType="end"/>
                            </w:r>
                            <w:r w:rsidRPr="006B00F4">
                              <w:rPr>
                                <w:color w:val="001D77"/>
                                <w:sz w:val="18"/>
                                <w:szCs w:val="18"/>
                              </w:rPr>
                              <w:fldChar w:fldCharType="begin"/>
                            </w:r>
                            <w:r w:rsidRPr="006B00F4">
                              <w:rPr>
                                <w:color w:val="001D77"/>
                                <w:sz w:val="18"/>
                                <w:szCs w:val="18"/>
                                <w:lang w:val="en-US"/>
                              </w:rPr>
                              <w:instrText>HYPERLINK "https://stat.gov.pl/en/metainformation/glossary/terms-used-in-official-statistics/4575,term.html" \o "Link to the glossary of terms - employment rate by labour force survey"</w:instrText>
                            </w:r>
                            <w:r w:rsidRPr="006B00F4">
                              <w:rPr>
                                <w:color w:val="001D77"/>
                                <w:sz w:val="18"/>
                                <w:szCs w:val="18"/>
                              </w:rPr>
                              <w:fldChar w:fldCharType="separate"/>
                            </w:r>
                            <w:r w:rsidRPr="006B00F4">
                              <w:rPr>
                                <w:color w:val="001D77"/>
                                <w:sz w:val="18"/>
                                <w:szCs w:val="18"/>
                                <w:u w:val="single"/>
                                <w:lang w:val="en-US"/>
                              </w:rPr>
                              <w:t xml:space="preserve">Employment rate by LFS </w:t>
                            </w:r>
                          </w:p>
                          <w:p w:rsidR="006B00F4" w:rsidRPr="006B00F4" w:rsidRDefault="006B00F4" w:rsidP="006B00F4">
                            <w:pPr>
                              <w:rPr>
                                <w:color w:val="001D77"/>
                                <w:sz w:val="18"/>
                                <w:szCs w:val="18"/>
                                <w:u w:val="single"/>
                                <w:lang w:val="en-US"/>
                              </w:rPr>
                            </w:pPr>
                            <w:r w:rsidRPr="006B00F4">
                              <w:rPr>
                                <w:color w:val="001D77"/>
                                <w:sz w:val="18"/>
                                <w:szCs w:val="18"/>
                              </w:rPr>
                              <w:fldChar w:fldCharType="end"/>
                            </w:r>
                            <w:r w:rsidRPr="006B00F4">
                              <w:rPr>
                                <w:color w:val="001D77"/>
                                <w:sz w:val="18"/>
                                <w:szCs w:val="18"/>
                              </w:rPr>
                              <w:fldChar w:fldCharType="begin"/>
                            </w:r>
                            <w:r w:rsidRPr="006B00F4">
                              <w:rPr>
                                <w:color w:val="001D77"/>
                                <w:sz w:val="18"/>
                                <w:szCs w:val="18"/>
                                <w:lang w:val="en-US"/>
                              </w:rPr>
                              <w:instrText>HYPERLINK "https://stat.gov.pl/en/metainformation/glossary/terms-used-in-official-statistics/4572,term.html" \o "Link to the dictionary of terms - unemployment rate"</w:instrText>
                            </w:r>
                            <w:r w:rsidRPr="006B00F4">
                              <w:rPr>
                                <w:color w:val="001D77"/>
                                <w:sz w:val="18"/>
                                <w:szCs w:val="18"/>
                              </w:rPr>
                              <w:fldChar w:fldCharType="separate"/>
                            </w:r>
                            <w:r w:rsidRPr="006B00F4">
                              <w:rPr>
                                <w:color w:val="001D77"/>
                                <w:sz w:val="18"/>
                                <w:szCs w:val="18"/>
                                <w:u w:val="single"/>
                                <w:lang w:val="en-US"/>
                              </w:rPr>
                              <w:t xml:space="preserve">Unemployment rate </w:t>
                            </w:r>
                          </w:p>
                          <w:p w:rsidR="00091E87" w:rsidRPr="006B00F4" w:rsidRDefault="006B00F4" w:rsidP="00AB5A6C">
                            <w:pPr>
                              <w:rPr>
                                <w:b/>
                                <w:lang w:val="en-US"/>
                              </w:rPr>
                            </w:pPr>
                            <w:r w:rsidRPr="006B00F4">
                              <w:rPr>
                                <w:color w:val="001D77"/>
                                <w:sz w:val="18"/>
                                <w:szCs w:val="18"/>
                              </w:rPr>
                              <w:fldChar w:fldCharType="end"/>
                            </w:r>
                          </w:p>
                          <w:p w:rsidR="00091E87" w:rsidRPr="006B00F4" w:rsidRDefault="00091E87" w:rsidP="00E7710D">
                            <w:pPr>
                              <w:jc w:val="right"/>
                              <w:rPr>
                                <w:b/>
                                <w:lang w:val="en-US"/>
                              </w:rPr>
                            </w:pPr>
                            <w:r w:rsidRPr="006B00F4">
                              <w:rPr>
                                <w:lang w:val="en-US"/>
                              </w:rPr>
                              <w:t xml:space="preserve">                                                           </w:t>
                            </w:r>
                          </w:p>
                          <w:p w:rsidR="00091E87" w:rsidRPr="006B00F4" w:rsidRDefault="00091E87" w:rsidP="00AB6D25">
                            <w:pPr>
                              <w:rPr>
                                <w:color w:val="001D77"/>
                                <w:szCs w:val="24"/>
                                <w:lang w:val="en-US"/>
                              </w:rPr>
                            </w:pPr>
                          </w:p>
                          <w:p w:rsidR="00091E87" w:rsidRPr="006B00F4" w:rsidRDefault="00091E87" w:rsidP="00AB6D25">
                            <w:pPr>
                              <w:rPr>
                                <w:b/>
                                <w:color w:val="001D77"/>
                                <w:szCs w:val="24"/>
                                <w:lang w:val="en-US"/>
                              </w:rPr>
                            </w:pPr>
                          </w:p>
                          <w:p w:rsidR="00091E87" w:rsidRPr="006B00F4" w:rsidRDefault="00091E87" w:rsidP="00673C26">
                            <w:pPr>
                              <w:rPr>
                                <w:rStyle w:val="Hipercze"/>
                                <w:rFonts w:cs="Arial"/>
                                <w:color w:val="001D77"/>
                                <w:sz w:val="18"/>
                                <w:szCs w:val="30"/>
                                <w:shd w:val="clear" w:color="auto" w:fill="F0F0F0"/>
                                <w:lang w:val="en-US"/>
                              </w:rPr>
                            </w:pPr>
                          </w:p>
                          <w:p w:rsidR="00091E87" w:rsidRPr="006B00F4" w:rsidRDefault="00091E87" w:rsidP="00673C26">
                            <w:pPr>
                              <w:rPr>
                                <w:rStyle w:val="Hipercze"/>
                                <w:rFonts w:cs="Arial"/>
                                <w:color w:val="001D77"/>
                                <w:sz w:val="18"/>
                                <w:szCs w:val="30"/>
                                <w:shd w:val="clear" w:color="auto" w:fill="F0F0F0"/>
                                <w:lang w:val="en-US"/>
                              </w:rPr>
                            </w:pPr>
                          </w:p>
                          <w:p w:rsidR="00091E87" w:rsidRPr="006B00F4" w:rsidRDefault="00091E87" w:rsidP="00AB6D25">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CAD2D" id="_x0000_s1036"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" fillcolor="#f2f2f2" strokecolor="white [3212]">
                <v:textbox>
                  <w:txbxContent>
                    <w:p w:rsidR="00091E87" w:rsidRPr="004961CE" w:rsidRDefault="001D7EE0" w:rsidP="00AB6D25">
                      <w:pPr>
                        <w:rPr>
                          <w:b/>
                          <w:lang w:val="en-US"/>
                        </w:rPr>
                      </w:pPr>
                      <w:r w:rsidRPr="004961CE">
                        <w:rPr>
                          <w:b/>
                          <w:lang w:val="en-US"/>
                        </w:rPr>
                        <w:t>Related information</w:t>
                      </w:r>
                    </w:p>
                    <w:p w:rsidR="00091E87" w:rsidRPr="004961CE" w:rsidRDefault="00091E87" w:rsidP="00AB6D25">
                      <w:pPr>
                        <w:rPr>
                          <w:rStyle w:val="Hipercze"/>
                          <w:rFonts w:cstheme="minorBidi"/>
                          <w:color w:val="001D77"/>
                          <w:sz w:val="18"/>
                          <w:szCs w:val="18"/>
                          <w:lang w:val="en-US"/>
                        </w:rPr>
                      </w:pPr>
                      <w:r w:rsidRPr="00592C55">
                        <w:rPr>
                          <w:color w:val="001D77"/>
                          <w:sz w:val="18"/>
                          <w:szCs w:val="18"/>
                        </w:rPr>
                        <w:fldChar w:fldCharType="begin"/>
                      </w:r>
                      <w:r w:rsidR="002A5486" w:rsidRPr="004961CE">
                        <w:rPr>
                          <w:color w:val="001D77"/>
                          <w:sz w:val="18"/>
                          <w:szCs w:val="18"/>
                          <w:lang w:val="en-US"/>
                        </w:rPr>
                        <w:instrText>HYPERLINK "https://stat.gov.pl/obszary-tematyczne/rynek-pracy/zasady-metodyczne-rocznik-pracy/zeszyt-metodologiczny-badanie-aktywnosci-ekonomicznej-ludnosci,3,1.html" \o "Methodological report. Labour Force Survey"</w:instrText>
                      </w:r>
                      <w:r w:rsidRPr="00592C55">
                        <w:rPr>
                          <w:color w:val="001D77"/>
                          <w:sz w:val="18"/>
                          <w:szCs w:val="18"/>
                        </w:rPr>
                        <w:fldChar w:fldCharType="separate"/>
                      </w:r>
                      <w:r w:rsidR="002A5486" w:rsidRPr="004961CE">
                        <w:rPr>
                          <w:rStyle w:val="Hipercze"/>
                          <w:rFonts w:cstheme="minorBidi"/>
                          <w:color w:val="001D77"/>
                          <w:sz w:val="18"/>
                          <w:szCs w:val="18"/>
                          <w:lang w:val="en-US"/>
                        </w:rPr>
                        <w:t>M</w:t>
                      </w:r>
                      <w:r w:rsidRPr="004961CE">
                        <w:rPr>
                          <w:rStyle w:val="Hipercze"/>
                          <w:rFonts w:cstheme="minorBidi"/>
                          <w:color w:val="001D77"/>
                          <w:sz w:val="18"/>
                          <w:szCs w:val="18"/>
                          <w:lang w:val="en-US"/>
                        </w:rPr>
                        <w:t>et</w:t>
                      </w:r>
                      <w:r w:rsidR="002A5486" w:rsidRPr="004961CE">
                        <w:rPr>
                          <w:rStyle w:val="Hipercze"/>
                          <w:rFonts w:cstheme="minorBidi"/>
                          <w:color w:val="001D77"/>
                          <w:sz w:val="18"/>
                          <w:szCs w:val="18"/>
                          <w:lang w:val="en-US"/>
                        </w:rPr>
                        <w:t>hodological report</w:t>
                      </w:r>
                      <w:r w:rsidRPr="004961CE">
                        <w:rPr>
                          <w:rStyle w:val="Hipercze"/>
                          <w:rFonts w:cstheme="minorBidi"/>
                          <w:color w:val="001D77"/>
                          <w:sz w:val="18"/>
                          <w:szCs w:val="18"/>
                          <w:lang w:val="en-US"/>
                        </w:rPr>
                        <w:t xml:space="preserve">. </w:t>
                      </w:r>
                      <w:proofErr w:type="spellStart"/>
                      <w:r w:rsidR="002A5486" w:rsidRPr="004961CE">
                        <w:rPr>
                          <w:rStyle w:val="Hipercze"/>
                          <w:rFonts w:cstheme="minorBidi"/>
                          <w:color w:val="001D77"/>
                          <w:sz w:val="18"/>
                          <w:szCs w:val="18"/>
                          <w:lang w:val="en-US"/>
                        </w:rPr>
                        <w:t>Labour</w:t>
                      </w:r>
                      <w:proofErr w:type="spellEnd"/>
                      <w:r w:rsidR="002A5486" w:rsidRPr="004961CE">
                        <w:rPr>
                          <w:rStyle w:val="Hipercze"/>
                          <w:rFonts w:cstheme="minorBidi"/>
                          <w:color w:val="001D77"/>
                          <w:sz w:val="18"/>
                          <w:szCs w:val="18"/>
                          <w:lang w:val="en-US"/>
                        </w:rPr>
                        <w:t xml:space="preserve"> force survey</w:t>
                      </w:r>
                    </w:p>
                    <w:p w:rsidR="002A5486" w:rsidRDefault="00091E87" w:rsidP="00E7710D">
                      <w:pPr>
                        <w:rPr>
                          <w:rFonts w:cs="Arial"/>
                          <w:color w:val="001D77"/>
                          <w:sz w:val="18"/>
                          <w:szCs w:val="30"/>
                          <w:u w:val="single"/>
                          <w:shd w:val="clear" w:color="auto" w:fill="F0F0F0"/>
                          <w:lang w:val="en-US"/>
                        </w:rPr>
                      </w:pPr>
                      <w:r w:rsidRPr="00592C55">
                        <w:rPr>
                          <w:color w:val="001D77"/>
                          <w:sz w:val="18"/>
                          <w:szCs w:val="18"/>
                        </w:rPr>
                        <w:fldChar w:fldCharType="end"/>
                      </w:r>
                      <w:hyperlink r:id="rId40" w:tooltip="Link to Labour Force Survey in Poland" w:history="1">
                        <w:proofErr w:type="spellStart"/>
                        <w:r w:rsidR="002A5486">
                          <w:rPr>
                            <w:rStyle w:val="Hipercze"/>
                            <w:rFonts w:cs="Arial"/>
                            <w:color w:val="001D77"/>
                            <w:sz w:val="18"/>
                            <w:szCs w:val="30"/>
                            <w:shd w:val="clear" w:color="auto" w:fill="F0F0F0"/>
                            <w:lang w:val="en-US"/>
                          </w:rPr>
                          <w:t>Labour</w:t>
                        </w:r>
                        <w:proofErr w:type="spellEnd"/>
                        <w:r w:rsidR="002A5486">
                          <w:rPr>
                            <w:rStyle w:val="Hipercze"/>
                            <w:rFonts w:cs="Arial"/>
                            <w:color w:val="001D77"/>
                            <w:sz w:val="18"/>
                            <w:szCs w:val="30"/>
                            <w:shd w:val="clear" w:color="auto" w:fill="F0F0F0"/>
                            <w:lang w:val="en-US"/>
                          </w:rPr>
                          <w:t xml:space="preserve"> Force Survey in Poland</w:t>
                        </w:r>
                      </w:hyperlink>
                      <w:r w:rsidR="002A5486">
                        <w:rPr>
                          <w:rFonts w:cs="Arial"/>
                          <w:color w:val="001D77"/>
                          <w:sz w:val="18"/>
                          <w:szCs w:val="30"/>
                          <w:u w:val="single"/>
                          <w:shd w:val="clear" w:color="auto" w:fill="F0F0F0"/>
                          <w:lang w:val="en-US"/>
                        </w:rPr>
                        <w:t xml:space="preserve"> </w:t>
                      </w:r>
                    </w:p>
                    <w:p w:rsidR="00091E87" w:rsidRPr="002A5486" w:rsidRDefault="003554BB" w:rsidP="006B00F4">
                      <w:pPr>
                        <w:rPr>
                          <w:rFonts w:cs="Arial"/>
                          <w:color w:val="001D77"/>
                          <w:sz w:val="18"/>
                          <w:szCs w:val="30"/>
                          <w:u w:val="single"/>
                          <w:shd w:val="clear" w:color="auto" w:fill="F0F0F0"/>
                          <w:lang w:val="en-US"/>
                        </w:rPr>
                      </w:pPr>
                      <w:hyperlink r:id="rId41" w:tooltip="Link to Employed, unemployed and economically inactive persons" w:history="1">
                        <w:r w:rsidR="006B00F4" w:rsidRPr="006B00F4">
                          <w:rPr>
                            <w:rStyle w:val="Hipercze"/>
                            <w:rFonts w:cs="Arial"/>
                            <w:sz w:val="18"/>
                            <w:szCs w:val="30"/>
                            <w:shd w:val="clear" w:color="auto" w:fill="F0F0F0"/>
                            <w:lang w:val="en-US"/>
                          </w:rPr>
                          <w:t>Employed</w:t>
                        </w:r>
                      </w:hyperlink>
                      <w:r w:rsidR="006B00F4" w:rsidRPr="006B00F4">
                        <w:rPr>
                          <w:rFonts w:cs="Arial"/>
                          <w:color w:val="001D77"/>
                          <w:sz w:val="18"/>
                          <w:szCs w:val="30"/>
                          <w:u w:val="single"/>
                          <w:shd w:val="clear" w:color="auto" w:fill="F0F0F0"/>
                          <w:lang w:val="en-US"/>
                        </w:rPr>
                        <w:t>, unemployed and economically inactive persons (preliminary LFS results) in the fourth quarter of 2021</w:t>
                      </w:r>
                    </w:p>
                    <w:p w:rsidR="006B00F4" w:rsidRDefault="006B00F4" w:rsidP="00E7710D">
                      <w:pPr>
                        <w:rPr>
                          <w:b/>
                          <w:color w:val="000000" w:themeColor="text1"/>
                          <w:szCs w:val="24"/>
                          <w:lang w:val="en-US"/>
                        </w:rPr>
                      </w:pPr>
                    </w:p>
                    <w:p w:rsidR="00091E87" w:rsidRPr="002A5486" w:rsidRDefault="001D7EE0" w:rsidP="00E7710D">
                      <w:pPr>
                        <w:rPr>
                          <w:b/>
                          <w:color w:val="000000" w:themeColor="text1"/>
                          <w:szCs w:val="24"/>
                          <w:lang w:val="en-US"/>
                        </w:rPr>
                      </w:pPr>
                      <w:r w:rsidRPr="002A5486">
                        <w:rPr>
                          <w:b/>
                          <w:color w:val="000000" w:themeColor="text1"/>
                          <w:szCs w:val="24"/>
                          <w:lang w:val="en-US"/>
                        </w:rPr>
                        <w:t>Data available in databases</w:t>
                      </w:r>
                    </w:p>
                    <w:p w:rsidR="006B00F4" w:rsidRPr="006B00F4" w:rsidRDefault="006B00F4" w:rsidP="006B00F4">
                      <w:pPr>
                        <w:rPr>
                          <w:color w:val="0000FF"/>
                          <w:sz w:val="18"/>
                          <w:szCs w:val="18"/>
                          <w:u w:val="single"/>
                          <w:lang w:val="en-US"/>
                        </w:rPr>
                      </w:pPr>
                      <w:r w:rsidRPr="006B00F4">
                        <w:rPr>
                          <w:color w:val="002060"/>
                          <w:sz w:val="18"/>
                          <w:szCs w:val="18"/>
                          <w:u w:val="single"/>
                        </w:rPr>
                        <w:fldChar w:fldCharType="begin"/>
                      </w:r>
                      <w:r w:rsidRPr="006B00F4">
                        <w:rPr>
                          <w:color w:val="002060"/>
                          <w:sz w:val="18"/>
                          <w:szCs w:val="18"/>
                          <w:u w:val="single"/>
                        </w:rPr>
                        <w:instrText>HYPERLINK "https://bdl.stat.gov.pl/BDL/dane/podgrup/temat" \o "Local Data Bank  Labour market"</w:instrText>
                      </w:r>
                      <w:r w:rsidRPr="006B00F4">
                        <w:rPr>
                          <w:color w:val="002060"/>
                          <w:sz w:val="18"/>
                          <w:szCs w:val="18"/>
                          <w:u w:val="single"/>
                        </w:rPr>
                        <w:fldChar w:fldCharType="separate"/>
                      </w:r>
                      <w:r w:rsidRPr="006B00F4">
                        <w:rPr>
                          <w:color w:val="0000FF"/>
                          <w:sz w:val="18"/>
                          <w:szCs w:val="18"/>
                          <w:u w:val="single"/>
                        </w:rPr>
                        <w:fldChar w:fldCharType="begin"/>
                      </w:r>
                      <w:r w:rsidRPr="006B00F4">
                        <w:rPr>
                          <w:color w:val="0000FF"/>
                          <w:sz w:val="18"/>
                          <w:szCs w:val="18"/>
                          <w:u w:val="single"/>
                          <w:lang w:val="en-US"/>
                        </w:rPr>
                        <w:instrText>HYPERLINK "https://bdl.stat.gov.pl/BDL/dane/podgrup/temat"</w:instrText>
                      </w:r>
                      <w:r w:rsidRPr="006B00F4">
                        <w:rPr>
                          <w:color w:val="0000FF"/>
                          <w:sz w:val="18"/>
                          <w:szCs w:val="18"/>
                          <w:u w:val="single"/>
                        </w:rPr>
                        <w:fldChar w:fldCharType="separate"/>
                      </w:r>
                      <w:r w:rsidRPr="006B00F4">
                        <w:rPr>
                          <w:color w:val="0000FF"/>
                          <w:sz w:val="18"/>
                          <w:szCs w:val="18"/>
                          <w:u w:val="single"/>
                          <w:lang w:val="en-US"/>
                        </w:rPr>
                        <w:t xml:space="preserve">Local Data Bank </w:t>
                      </w:r>
                      <w:r w:rsidRPr="006B00F4">
                        <w:rPr>
                          <w:color w:val="0000FF"/>
                          <w:sz w:val="18"/>
                          <w:szCs w:val="18"/>
                          <w:u w:val="single"/>
                          <w:lang w:val="en-US"/>
                        </w:rPr>
                        <w:sym w:font="Symbol" w:char="F0AE"/>
                      </w:r>
                      <w:r w:rsidRPr="006B00F4">
                        <w:rPr>
                          <w:color w:val="0000FF"/>
                          <w:sz w:val="18"/>
                          <w:szCs w:val="18"/>
                          <w:u w:val="single"/>
                          <w:lang w:val="en-US"/>
                        </w:rPr>
                        <w:t xml:space="preserve"> Labour market</w:t>
                      </w:r>
                    </w:p>
                    <w:p w:rsidR="00091E87" w:rsidRDefault="006B00F4" w:rsidP="00E7710D">
                      <w:pPr>
                        <w:rPr>
                          <w:color w:val="001D77"/>
                          <w:szCs w:val="24"/>
                        </w:rPr>
                      </w:pPr>
                      <w:r w:rsidRPr="006B00F4">
                        <w:rPr>
                          <w:color w:val="0000FF"/>
                          <w:sz w:val="18"/>
                          <w:szCs w:val="18"/>
                          <w:u w:val="single"/>
                        </w:rPr>
                        <w:fldChar w:fldCharType="end"/>
                      </w:r>
                      <w:r w:rsidRPr="006B00F4">
                        <w:rPr>
                          <w:color w:val="002060"/>
                          <w:sz w:val="18"/>
                          <w:szCs w:val="18"/>
                        </w:rPr>
                        <w:fldChar w:fldCharType="end"/>
                      </w:r>
                    </w:p>
                    <w:p w:rsidR="00091E87" w:rsidRPr="006B00F4" w:rsidRDefault="001D7EE0" w:rsidP="00AB5A6C">
                      <w:pPr>
                        <w:rPr>
                          <w:b/>
                          <w:color w:val="000000" w:themeColor="text1"/>
                          <w:szCs w:val="24"/>
                          <w:lang w:val="en-US"/>
                        </w:rPr>
                      </w:pPr>
                      <w:r w:rsidRPr="006B00F4">
                        <w:rPr>
                          <w:b/>
                          <w:color w:val="000000" w:themeColor="text1"/>
                          <w:szCs w:val="24"/>
                          <w:lang w:val="en-US"/>
                        </w:rPr>
                        <w:t>Terms used in official statistics</w:t>
                      </w:r>
                    </w:p>
                    <w:p w:rsidR="006B00F4" w:rsidRPr="006B00F4" w:rsidRDefault="006B00F4" w:rsidP="006B00F4">
                      <w:pPr>
                        <w:rPr>
                          <w:color w:val="0000FF"/>
                          <w:sz w:val="18"/>
                          <w:szCs w:val="18"/>
                          <w:u w:val="single"/>
                          <w:lang w:val="en-US"/>
                        </w:rPr>
                      </w:pPr>
                      <w:r w:rsidRPr="006B00F4">
                        <w:rPr>
                          <w:color w:val="001D77"/>
                          <w:sz w:val="18"/>
                          <w:szCs w:val="18"/>
                          <w:u w:val="single"/>
                        </w:rPr>
                        <w:fldChar w:fldCharType="begin"/>
                      </w:r>
                      <w:r w:rsidRPr="004961CE">
                        <w:rPr>
                          <w:color w:val="001D77"/>
                          <w:sz w:val="18"/>
                          <w:szCs w:val="18"/>
                          <w:u w:val="single"/>
                          <w:lang w:val="en-US"/>
                        </w:rPr>
                        <w:instrText>HYPERLINK "https://stat.gov.pl/en/metainformation/glossary/terms-used-in-official-statistics/4573,term.html" \o "Link to the dictionary of terms - activity rate by labour force survey"</w:instrText>
                      </w:r>
                      <w:r w:rsidRPr="006B00F4">
                        <w:rPr>
                          <w:color w:val="001D77"/>
                          <w:sz w:val="18"/>
                          <w:szCs w:val="18"/>
                          <w:u w:val="single"/>
                        </w:rPr>
                        <w:fldChar w:fldCharType="separate"/>
                      </w:r>
                      <w:r w:rsidRPr="006B00F4">
                        <w:rPr>
                          <w:color w:val="0000FF"/>
                          <w:sz w:val="18"/>
                          <w:szCs w:val="18"/>
                          <w:u w:val="single"/>
                          <w:lang w:val="en-US"/>
                        </w:rPr>
                        <w:t>Activity rate by LFS</w:t>
                      </w:r>
                    </w:p>
                    <w:p w:rsidR="006B00F4" w:rsidRPr="006B00F4" w:rsidRDefault="006B00F4" w:rsidP="006B00F4">
                      <w:pPr>
                        <w:rPr>
                          <w:color w:val="001D77"/>
                          <w:sz w:val="18"/>
                          <w:szCs w:val="18"/>
                          <w:u w:val="single"/>
                          <w:lang w:val="en-US"/>
                        </w:rPr>
                      </w:pPr>
                      <w:r w:rsidRPr="006B00F4">
                        <w:rPr>
                          <w:color w:val="001D77"/>
                          <w:sz w:val="18"/>
                          <w:szCs w:val="18"/>
                          <w:u w:val="single"/>
                        </w:rPr>
                        <w:fldChar w:fldCharType="end"/>
                      </w:r>
                      <w:r w:rsidRPr="006B00F4">
                        <w:rPr>
                          <w:color w:val="001D77"/>
                          <w:sz w:val="18"/>
                          <w:szCs w:val="18"/>
                        </w:rPr>
                        <w:fldChar w:fldCharType="begin"/>
                      </w:r>
                      <w:r w:rsidRPr="006B00F4">
                        <w:rPr>
                          <w:color w:val="001D77"/>
                          <w:sz w:val="18"/>
                          <w:szCs w:val="18"/>
                          <w:lang w:val="en-US"/>
                        </w:rPr>
                        <w:instrText>HYPERLINK "https://stat.gov.pl/en/metainformation/glossary/terms-used-in-official-statistics/4575,term.html" \o "Link to the glossary of terms - employment rate by labour force survey"</w:instrText>
                      </w:r>
                      <w:r w:rsidRPr="006B00F4">
                        <w:rPr>
                          <w:color w:val="001D77"/>
                          <w:sz w:val="18"/>
                          <w:szCs w:val="18"/>
                        </w:rPr>
                        <w:fldChar w:fldCharType="separate"/>
                      </w:r>
                      <w:r w:rsidRPr="006B00F4">
                        <w:rPr>
                          <w:color w:val="001D77"/>
                          <w:sz w:val="18"/>
                          <w:szCs w:val="18"/>
                          <w:u w:val="single"/>
                          <w:lang w:val="en-US"/>
                        </w:rPr>
                        <w:t xml:space="preserve">Employment rate by LFS </w:t>
                      </w:r>
                    </w:p>
                    <w:p w:rsidR="006B00F4" w:rsidRPr="006B00F4" w:rsidRDefault="006B00F4" w:rsidP="006B00F4">
                      <w:pPr>
                        <w:rPr>
                          <w:color w:val="001D77"/>
                          <w:sz w:val="18"/>
                          <w:szCs w:val="18"/>
                          <w:u w:val="single"/>
                          <w:lang w:val="en-US"/>
                        </w:rPr>
                      </w:pPr>
                      <w:r w:rsidRPr="006B00F4">
                        <w:rPr>
                          <w:color w:val="001D77"/>
                          <w:sz w:val="18"/>
                          <w:szCs w:val="18"/>
                        </w:rPr>
                        <w:fldChar w:fldCharType="end"/>
                      </w:r>
                      <w:r w:rsidRPr="006B00F4">
                        <w:rPr>
                          <w:color w:val="001D77"/>
                          <w:sz w:val="18"/>
                          <w:szCs w:val="18"/>
                        </w:rPr>
                        <w:fldChar w:fldCharType="begin"/>
                      </w:r>
                      <w:r w:rsidRPr="006B00F4">
                        <w:rPr>
                          <w:color w:val="001D77"/>
                          <w:sz w:val="18"/>
                          <w:szCs w:val="18"/>
                          <w:lang w:val="en-US"/>
                        </w:rPr>
                        <w:instrText>HYPERLINK "https://stat.gov.pl/en/metainformation/glossary/terms-used-in-official-statistics/4572,term.html" \o "Link to the dictionary of terms - unemployment rate"</w:instrText>
                      </w:r>
                      <w:r w:rsidRPr="006B00F4">
                        <w:rPr>
                          <w:color w:val="001D77"/>
                          <w:sz w:val="18"/>
                          <w:szCs w:val="18"/>
                        </w:rPr>
                        <w:fldChar w:fldCharType="separate"/>
                      </w:r>
                      <w:r w:rsidRPr="006B00F4">
                        <w:rPr>
                          <w:color w:val="001D77"/>
                          <w:sz w:val="18"/>
                          <w:szCs w:val="18"/>
                          <w:u w:val="single"/>
                          <w:lang w:val="en-US"/>
                        </w:rPr>
                        <w:t xml:space="preserve">Unemployment rate </w:t>
                      </w:r>
                    </w:p>
                    <w:p w:rsidR="00091E87" w:rsidRPr="006B00F4" w:rsidRDefault="006B00F4" w:rsidP="00AB5A6C">
                      <w:pPr>
                        <w:rPr>
                          <w:b/>
                          <w:lang w:val="en-US"/>
                        </w:rPr>
                      </w:pPr>
                      <w:r w:rsidRPr="006B00F4">
                        <w:rPr>
                          <w:color w:val="001D77"/>
                          <w:sz w:val="18"/>
                          <w:szCs w:val="18"/>
                        </w:rPr>
                        <w:fldChar w:fldCharType="end"/>
                      </w:r>
                    </w:p>
                    <w:p w:rsidR="00091E87" w:rsidRPr="006B00F4" w:rsidRDefault="00091E87" w:rsidP="00E7710D">
                      <w:pPr>
                        <w:jc w:val="right"/>
                        <w:rPr>
                          <w:b/>
                          <w:lang w:val="en-US"/>
                        </w:rPr>
                      </w:pPr>
                      <w:r w:rsidRPr="006B00F4">
                        <w:rPr>
                          <w:lang w:val="en-US"/>
                        </w:rPr>
                        <w:t xml:space="preserve">                                                           </w:t>
                      </w:r>
                    </w:p>
                    <w:p w:rsidR="00091E87" w:rsidRPr="006B00F4" w:rsidRDefault="00091E87" w:rsidP="00AB6D25">
                      <w:pPr>
                        <w:rPr>
                          <w:color w:val="001D77"/>
                          <w:szCs w:val="24"/>
                          <w:lang w:val="en-US"/>
                        </w:rPr>
                      </w:pPr>
                    </w:p>
                    <w:p w:rsidR="00091E87" w:rsidRPr="006B00F4" w:rsidRDefault="00091E87" w:rsidP="00AB6D25">
                      <w:pPr>
                        <w:rPr>
                          <w:b/>
                          <w:color w:val="001D77"/>
                          <w:szCs w:val="24"/>
                          <w:lang w:val="en-US"/>
                        </w:rPr>
                      </w:pPr>
                    </w:p>
                    <w:p w:rsidR="00091E87" w:rsidRPr="006B00F4" w:rsidRDefault="00091E87" w:rsidP="00673C26">
                      <w:pPr>
                        <w:rPr>
                          <w:rStyle w:val="Hipercze"/>
                          <w:rFonts w:cs="Arial"/>
                          <w:color w:val="001D77"/>
                          <w:sz w:val="18"/>
                          <w:szCs w:val="30"/>
                          <w:shd w:val="clear" w:color="auto" w:fill="F0F0F0"/>
                          <w:lang w:val="en-US"/>
                        </w:rPr>
                      </w:pPr>
                    </w:p>
                    <w:p w:rsidR="00091E87" w:rsidRPr="006B00F4" w:rsidRDefault="00091E87" w:rsidP="00673C26">
                      <w:pPr>
                        <w:rPr>
                          <w:rStyle w:val="Hipercze"/>
                          <w:rFonts w:cs="Arial"/>
                          <w:color w:val="001D77"/>
                          <w:sz w:val="18"/>
                          <w:szCs w:val="30"/>
                          <w:shd w:val="clear" w:color="auto" w:fill="F0F0F0"/>
                          <w:lang w:val="en-US"/>
                        </w:rPr>
                      </w:pPr>
                    </w:p>
                    <w:p w:rsidR="00091E87" w:rsidRPr="006B00F4" w:rsidRDefault="00091E87" w:rsidP="00AB6D25">
                      <w:pPr>
                        <w:rPr>
                          <w:b/>
                          <w:color w:val="000000" w:themeColor="text1"/>
                          <w:szCs w:val="24"/>
                          <w:lang w:val="en-US"/>
                        </w:rPr>
                      </w:pPr>
                    </w:p>
                  </w:txbxContent>
                </v:textbox>
                <w10:wrap type="square" anchorx="margin"/>
              </v:shape>
            </w:pict>
          </mc:Fallback>
        </mc:AlternateContent>
      </w:r>
    </w:p>
    <w:sectPr w:rsidR="00D261A2" w:rsidRPr="00001C5B" w:rsidSect="003B18B6">
      <w:headerReference w:type="default" r:id="rId42"/>
      <w:footerReference w:type="default" r:id="rId4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CB" w:rsidRDefault="002F6ACB" w:rsidP="000662E2">
      <w:pPr>
        <w:spacing w:after="0" w:line="240" w:lineRule="auto"/>
      </w:pPr>
      <w:r>
        <w:separator/>
      </w:r>
    </w:p>
  </w:endnote>
  <w:endnote w:type="continuationSeparator" w:id="0">
    <w:p w:rsidR="002F6ACB" w:rsidRDefault="002F6ACB"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00"/>
    <w:family w:val="swiss"/>
    <w:notTrueType/>
    <w:pitch w:val="variable"/>
    <w:sig w:usb0="600002FF" w:usb1="00000001" w:usb2="00000000" w:usb3="00000000" w:csb0="0000019F" w:csb1="00000000"/>
  </w:font>
  <w:font w:name="Fira Sans">
    <w:panose1 w:val="020B0503050000020004"/>
    <w:charset w:val="00"/>
    <w:family w:val="swiss"/>
    <w:notTrueType/>
    <w:pitch w:val="variable"/>
    <w:sig w:usb0="600002FF" w:usb1="00000001" w:usb2="00000000" w:usb3="00000000" w:csb0="0000019F" w:csb1="00000000"/>
  </w:font>
  <w:font w:name="Fira Sans SemiBold">
    <w:panose1 w:val="020B0603050000020004"/>
    <w:charset w:val="00"/>
    <w:family w:val="swiss"/>
    <w:notTrueType/>
    <w:pitch w:val="variable"/>
    <w:sig w:usb0="600002FF" w:usb1="00000001" w:usb2="00000000" w:usb3="00000000" w:csb0="0000019F" w:csb1="00000000"/>
  </w:font>
  <w:font w:name="Fira Sans Medium">
    <w:panose1 w:val="020B0603050000020004"/>
    <w:charset w:val="00"/>
    <w:family w:val="swiss"/>
    <w:notTrueType/>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44342"/>
      <w:docPartObj>
        <w:docPartGallery w:val="Page Numbers (Bottom of Page)"/>
        <w:docPartUnique/>
      </w:docPartObj>
    </w:sdtPr>
    <w:sdtEndPr/>
    <w:sdtContent>
      <w:p w:rsidR="00091E87" w:rsidRDefault="00091E87" w:rsidP="003B18B6">
        <w:pPr>
          <w:pStyle w:val="Stopka"/>
          <w:jc w:val="center"/>
        </w:pPr>
        <w:r>
          <w:fldChar w:fldCharType="begin"/>
        </w:r>
        <w:r>
          <w:instrText>PAGE   \* MERGEFORMAT</w:instrText>
        </w:r>
        <w:r>
          <w:fldChar w:fldCharType="separate"/>
        </w:r>
        <w:r w:rsidR="002E58A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5899"/>
      <w:docPartObj>
        <w:docPartGallery w:val="Page Numbers (Bottom of Page)"/>
        <w:docPartUnique/>
      </w:docPartObj>
    </w:sdtPr>
    <w:sdtEndPr/>
    <w:sdtContent>
      <w:p w:rsidR="00091E87" w:rsidRDefault="00091E87" w:rsidP="003B18B6">
        <w:pPr>
          <w:pStyle w:val="Stopka"/>
          <w:jc w:val="center"/>
        </w:pPr>
        <w:r>
          <w:fldChar w:fldCharType="begin"/>
        </w:r>
        <w:r>
          <w:instrText>PAGE   \* MERGEFORMAT</w:instrText>
        </w:r>
        <w:r>
          <w:fldChar w:fldCharType="separate"/>
        </w:r>
        <w:r w:rsidR="002E58A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091E87" w:rsidRDefault="00091E87" w:rsidP="003B18B6">
        <w:pPr>
          <w:pStyle w:val="Stopka"/>
          <w:jc w:val="center"/>
        </w:pPr>
        <w:r>
          <w:fldChar w:fldCharType="begin"/>
        </w:r>
        <w:r>
          <w:instrText>PAGE   \* MERGEFORMAT</w:instrText>
        </w:r>
        <w:r>
          <w:fldChar w:fldCharType="separate"/>
        </w:r>
        <w:r w:rsidR="002E58A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CB" w:rsidRDefault="002F6ACB" w:rsidP="000662E2">
      <w:pPr>
        <w:spacing w:after="0" w:line="240" w:lineRule="auto"/>
      </w:pPr>
      <w:r>
        <w:separator/>
      </w:r>
    </w:p>
  </w:footnote>
  <w:footnote w:type="continuationSeparator" w:id="0">
    <w:p w:rsidR="002F6ACB" w:rsidRDefault="002F6ACB"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87" w:rsidRDefault="00091E87">
    <w:pPr>
      <w:pStyle w:val="Nagwek"/>
    </w:pPr>
    <w:r>
      <w:rPr>
        <w:noProof/>
        <w:lang w:eastAsia="pl-PL"/>
      </w:rPr>
      <mc:AlternateContent>
        <mc:Choice Requires="wps">
          <w:drawing>
            <wp:anchor distT="0" distB="0" distL="114300" distR="114300" simplePos="0" relativeHeight="251662336" behindDoc="1" locked="0" layoutInCell="1" allowOverlap="1" wp14:anchorId="05F9114D" wp14:editId="3F19784F">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ACD1"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091E87" w:rsidRDefault="00091E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87" w:rsidRDefault="00710F6B" w:rsidP="003747F6">
    <w:pPr>
      <w:pStyle w:val="Nagwek"/>
      <w:tabs>
        <w:tab w:val="left" w:pos="284"/>
      </w:tabs>
      <w:rPr>
        <w:noProof/>
        <w:lang w:eastAsia="pl-PL"/>
      </w:rPr>
    </w:pPr>
    <w:r>
      <w:rPr>
        <w:noProof/>
        <w:lang w:eastAsia="pl-PL"/>
      </w:rPr>
      <w:drawing>
        <wp:anchor distT="0" distB="0" distL="114300" distR="114300" simplePos="0" relativeHeight="251672576" behindDoc="0" locked="0" layoutInCell="1" allowOverlap="1">
          <wp:simplePos x="0" y="0"/>
          <wp:positionH relativeFrom="column">
            <wp:posOffset>1838325</wp:posOffset>
          </wp:positionH>
          <wp:positionV relativeFrom="page">
            <wp:posOffset>283845</wp:posOffset>
          </wp:positionV>
          <wp:extent cx="1785620" cy="457200"/>
          <wp:effectExtent l="0" t="0" r="508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nek pracy w maju 2022 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457200"/>
                  </a:xfrm>
                  <a:prstGeom prst="rect">
                    <a:avLst/>
                  </a:prstGeom>
                </pic:spPr>
              </pic:pic>
            </a:graphicData>
          </a:graphic>
        </wp:anchor>
      </w:drawing>
    </w:r>
    <w:r w:rsidR="006B00F4">
      <w:rPr>
        <w:noProof/>
        <w:lang w:eastAsia="pl-PL"/>
      </w:rPr>
      <w:drawing>
        <wp:anchor distT="0" distB="0" distL="114300" distR="114300" simplePos="0" relativeHeight="251671552" behindDoc="0" locked="0" layoutInCell="1" allowOverlap="1">
          <wp:simplePos x="0" y="0"/>
          <wp:positionH relativeFrom="margin">
            <wp:align>left</wp:align>
          </wp:positionH>
          <wp:positionV relativeFrom="page">
            <wp:posOffset>323850</wp:posOffset>
          </wp:positionV>
          <wp:extent cx="1420495" cy="469265"/>
          <wp:effectExtent l="0" t="0" r="8255" b="6985"/>
          <wp:wrapTopAndBottom/>
          <wp:docPr id="40" name="Obraz 40" descr="Logotype of the Statistical Office in Warszawa showing two circles, one green, the other blue, overlapping each other vertically. Next to it, the inscription: Statistical Office in Warszawa." title="Logo of the Statistical Office in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69265"/>
                  </a:xfrm>
                  <a:prstGeom prst="rect">
                    <a:avLst/>
                  </a:prstGeom>
                  <a:noFill/>
                </pic:spPr>
              </pic:pic>
            </a:graphicData>
          </a:graphic>
        </wp:anchor>
      </w:drawing>
    </w:r>
    <w:r w:rsidR="00091E87">
      <w:rPr>
        <w:noProof/>
        <w:lang w:eastAsia="pl-PL"/>
      </w:rPr>
      <mc:AlternateContent>
        <mc:Choice Requires="wps">
          <w:drawing>
            <wp:anchor distT="0" distB="0" distL="114300" distR="114300" simplePos="0" relativeHeight="251666432" behindDoc="1" locked="0" layoutInCell="1" allowOverlap="1" wp14:anchorId="51205CF2" wp14:editId="355D8CEC">
              <wp:simplePos x="0" y="0"/>
              <wp:positionH relativeFrom="column">
                <wp:posOffset>5219065</wp:posOffset>
              </wp:positionH>
              <wp:positionV relativeFrom="paragraph">
                <wp:posOffset>543894</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6730" id="Prostokąt 10" o:spid="_x0000_s1026" style="position:absolute;margin-left:410.95pt;margin-top:42.85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" fillcolor="#f2f2f2" stroked="f" strokeweight="1pt">
              <w10:wrap type="tight"/>
            </v:rect>
          </w:pict>
        </mc:Fallback>
      </mc:AlternateContent>
    </w:r>
    <w:r w:rsidR="00091E87" w:rsidRPr="00F37172">
      <w:rPr>
        <w:noProof/>
        <w:lang w:eastAsia="pl-PL"/>
      </w:rPr>
      <mc:AlternateContent>
        <mc:Choice Requires="wps">
          <w:drawing>
            <wp:anchor distT="0" distB="0" distL="114300" distR="114300" simplePos="0" relativeHeight="251668480" behindDoc="0" locked="0" layoutInCell="1" allowOverlap="1" wp14:anchorId="6FC51D5B" wp14:editId="7C00E48C">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descr="The inspcription news releases." title="The inscription"/>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E87" w:rsidRPr="003C6C8D" w:rsidRDefault="00091E87"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1D5B" id="Schemat blokowy: opóźnienie 6" o:spid="_x0000_s1037" alt="Tytuł: The inscription — opis: The inspcription news releases."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091E87" w:rsidRPr="003C6C8D" w:rsidRDefault="00091E87"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87" w:rsidRDefault="00091E87">
    <w:pPr>
      <w:pStyle w:val="Nagwek"/>
    </w:pPr>
  </w:p>
  <w:p w:rsidR="00091E87" w:rsidRDefault="00091E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4737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25pt;height:125.45pt;visibility:visible" o:bullet="t">
        <v:imagedata r:id="rId1" o:title=""/>
      </v:shape>
    </w:pict>
  </w:numPicBullet>
  <w:numPicBullet w:numPicBulletId="1">
    <w:pict>
      <v:shape id="_x0000_i1027" type="#_x0000_t75" style="width:123.8pt;height:125.45pt;visibility:visibl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oNotTrackMoves/>
  <w:doNotTrackFormatting/>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7CB"/>
    <w:rsid w:val="00001C5B"/>
    <w:rsid w:val="0000201B"/>
    <w:rsid w:val="00002F4D"/>
    <w:rsid w:val="00003437"/>
    <w:rsid w:val="00003BFD"/>
    <w:rsid w:val="00004021"/>
    <w:rsid w:val="00004079"/>
    <w:rsid w:val="0000490A"/>
    <w:rsid w:val="000051D1"/>
    <w:rsid w:val="0000709F"/>
    <w:rsid w:val="000108B8"/>
    <w:rsid w:val="00014BF1"/>
    <w:rsid w:val="000152F5"/>
    <w:rsid w:val="00016119"/>
    <w:rsid w:val="000163B1"/>
    <w:rsid w:val="00020326"/>
    <w:rsid w:val="0002034C"/>
    <w:rsid w:val="000205C6"/>
    <w:rsid w:val="00020805"/>
    <w:rsid w:val="00020849"/>
    <w:rsid w:val="000213DC"/>
    <w:rsid w:val="0002199B"/>
    <w:rsid w:val="0002441B"/>
    <w:rsid w:val="000264AD"/>
    <w:rsid w:val="00030968"/>
    <w:rsid w:val="0003224E"/>
    <w:rsid w:val="00032538"/>
    <w:rsid w:val="000327DB"/>
    <w:rsid w:val="0003332A"/>
    <w:rsid w:val="00036338"/>
    <w:rsid w:val="0003693E"/>
    <w:rsid w:val="00037364"/>
    <w:rsid w:val="0004093F"/>
    <w:rsid w:val="00041B0E"/>
    <w:rsid w:val="0004315F"/>
    <w:rsid w:val="0004508C"/>
    <w:rsid w:val="000450D7"/>
    <w:rsid w:val="00045602"/>
    <w:rsid w:val="0004582E"/>
    <w:rsid w:val="00046B90"/>
    <w:rsid w:val="000470AA"/>
    <w:rsid w:val="000511DC"/>
    <w:rsid w:val="00053270"/>
    <w:rsid w:val="00056E5B"/>
    <w:rsid w:val="00057CA1"/>
    <w:rsid w:val="00060416"/>
    <w:rsid w:val="00062B2C"/>
    <w:rsid w:val="00064D93"/>
    <w:rsid w:val="00065FEC"/>
    <w:rsid w:val="000662E2"/>
    <w:rsid w:val="00066883"/>
    <w:rsid w:val="00066BD9"/>
    <w:rsid w:val="00067AA2"/>
    <w:rsid w:val="0007061F"/>
    <w:rsid w:val="00074DD8"/>
    <w:rsid w:val="0007574C"/>
    <w:rsid w:val="000772DA"/>
    <w:rsid w:val="000806F7"/>
    <w:rsid w:val="0008430C"/>
    <w:rsid w:val="00084FC5"/>
    <w:rsid w:val="000914C4"/>
    <w:rsid w:val="00091E87"/>
    <w:rsid w:val="00092ABB"/>
    <w:rsid w:val="00093E91"/>
    <w:rsid w:val="000971CC"/>
    <w:rsid w:val="0009720A"/>
    <w:rsid w:val="000A1A68"/>
    <w:rsid w:val="000A2E37"/>
    <w:rsid w:val="000A37AE"/>
    <w:rsid w:val="000B0727"/>
    <w:rsid w:val="000B1A22"/>
    <w:rsid w:val="000B1E86"/>
    <w:rsid w:val="000B2447"/>
    <w:rsid w:val="000B4762"/>
    <w:rsid w:val="000C135D"/>
    <w:rsid w:val="000C2E63"/>
    <w:rsid w:val="000C45B9"/>
    <w:rsid w:val="000C7F04"/>
    <w:rsid w:val="000D150D"/>
    <w:rsid w:val="000D1D43"/>
    <w:rsid w:val="000D225C"/>
    <w:rsid w:val="000D2A5C"/>
    <w:rsid w:val="000D3461"/>
    <w:rsid w:val="000D3847"/>
    <w:rsid w:val="000E05E6"/>
    <w:rsid w:val="000E0918"/>
    <w:rsid w:val="000E275A"/>
    <w:rsid w:val="000E42A1"/>
    <w:rsid w:val="000F2A14"/>
    <w:rsid w:val="000F3B9A"/>
    <w:rsid w:val="000F7313"/>
    <w:rsid w:val="0010041F"/>
    <w:rsid w:val="001011C3"/>
    <w:rsid w:val="00102293"/>
    <w:rsid w:val="00102CFA"/>
    <w:rsid w:val="0010342B"/>
    <w:rsid w:val="00103788"/>
    <w:rsid w:val="00103B24"/>
    <w:rsid w:val="001040F0"/>
    <w:rsid w:val="00110D87"/>
    <w:rsid w:val="00113F1F"/>
    <w:rsid w:val="00114940"/>
    <w:rsid w:val="00114C6F"/>
    <w:rsid w:val="00114DB9"/>
    <w:rsid w:val="00115F53"/>
    <w:rsid w:val="00116087"/>
    <w:rsid w:val="0011658E"/>
    <w:rsid w:val="001169AF"/>
    <w:rsid w:val="001237E7"/>
    <w:rsid w:val="001249CA"/>
    <w:rsid w:val="00126280"/>
    <w:rsid w:val="00130296"/>
    <w:rsid w:val="001302C0"/>
    <w:rsid w:val="00131BC5"/>
    <w:rsid w:val="00136AE9"/>
    <w:rsid w:val="00140EF2"/>
    <w:rsid w:val="001420A6"/>
    <w:rsid w:val="001423B6"/>
    <w:rsid w:val="00142904"/>
    <w:rsid w:val="00143547"/>
    <w:rsid w:val="001448A7"/>
    <w:rsid w:val="00144923"/>
    <w:rsid w:val="00145324"/>
    <w:rsid w:val="00145D08"/>
    <w:rsid w:val="00146621"/>
    <w:rsid w:val="00150059"/>
    <w:rsid w:val="00151785"/>
    <w:rsid w:val="00151F82"/>
    <w:rsid w:val="00153AA2"/>
    <w:rsid w:val="001541A8"/>
    <w:rsid w:val="00160339"/>
    <w:rsid w:val="0016042D"/>
    <w:rsid w:val="00160C41"/>
    <w:rsid w:val="00162325"/>
    <w:rsid w:val="00162E27"/>
    <w:rsid w:val="001673BC"/>
    <w:rsid w:val="00171246"/>
    <w:rsid w:val="001712E9"/>
    <w:rsid w:val="00172BD0"/>
    <w:rsid w:val="0017528B"/>
    <w:rsid w:val="001808FF"/>
    <w:rsid w:val="00186DEE"/>
    <w:rsid w:val="0019266E"/>
    <w:rsid w:val="0019275D"/>
    <w:rsid w:val="00193329"/>
    <w:rsid w:val="001951DA"/>
    <w:rsid w:val="00196042"/>
    <w:rsid w:val="0019768C"/>
    <w:rsid w:val="00197F29"/>
    <w:rsid w:val="001A26BD"/>
    <w:rsid w:val="001A46A1"/>
    <w:rsid w:val="001A4A6D"/>
    <w:rsid w:val="001A5603"/>
    <w:rsid w:val="001A7E19"/>
    <w:rsid w:val="001A7F29"/>
    <w:rsid w:val="001B22C3"/>
    <w:rsid w:val="001B2411"/>
    <w:rsid w:val="001B39A8"/>
    <w:rsid w:val="001B3EE4"/>
    <w:rsid w:val="001B5E3F"/>
    <w:rsid w:val="001B6092"/>
    <w:rsid w:val="001C0E2B"/>
    <w:rsid w:val="001C0F7F"/>
    <w:rsid w:val="001C1C6B"/>
    <w:rsid w:val="001C1FCC"/>
    <w:rsid w:val="001C2733"/>
    <w:rsid w:val="001C3269"/>
    <w:rsid w:val="001C47AB"/>
    <w:rsid w:val="001C6777"/>
    <w:rsid w:val="001D0DD8"/>
    <w:rsid w:val="001D1DB4"/>
    <w:rsid w:val="001D378E"/>
    <w:rsid w:val="001D7EE0"/>
    <w:rsid w:val="001E00EC"/>
    <w:rsid w:val="001E0128"/>
    <w:rsid w:val="001E0DF4"/>
    <w:rsid w:val="001E67BE"/>
    <w:rsid w:val="001F192D"/>
    <w:rsid w:val="001F24EE"/>
    <w:rsid w:val="001F36B9"/>
    <w:rsid w:val="001F5523"/>
    <w:rsid w:val="0020133F"/>
    <w:rsid w:val="00201C24"/>
    <w:rsid w:val="00202DB2"/>
    <w:rsid w:val="00202F0F"/>
    <w:rsid w:val="00207674"/>
    <w:rsid w:val="002112D5"/>
    <w:rsid w:val="00211895"/>
    <w:rsid w:val="00212145"/>
    <w:rsid w:val="00214C13"/>
    <w:rsid w:val="0021716C"/>
    <w:rsid w:val="00217A16"/>
    <w:rsid w:val="00222ADD"/>
    <w:rsid w:val="00224BBE"/>
    <w:rsid w:val="00225506"/>
    <w:rsid w:val="002305D9"/>
    <w:rsid w:val="002324E9"/>
    <w:rsid w:val="00232796"/>
    <w:rsid w:val="00235863"/>
    <w:rsid w:val="00241EAB"/>
    <w:rsid w:val="00245BDA"/>
    <w:rsid w:val="00247424"/>
    <w:rsid w:val="00250E5D"/>
    <w:rsid w:val="0025239F"/>
    <w:rsid w:val="00253761"/>
    <w:rsid w:val="002574F9"/>
    <w:rsid w:val="00262B61"/>
    <w:rsid w:val="00265B4B"/>
    <w:rsid w:val="00266A31"/>
    <w:rsid w:val="002729C4"/>
    <w:rsid w:val="0027323B"/>
    <w:rsid w:val="002754AE"/>
    <w:rsid w:val="00276625"/>
    <w:rsid w:val="00276811"/>
    <w:rsid w:val="0028181A"/>
    <w:rsid w:val="00281F94"/>
    <w:rsid w:val="00282699"/>
    <w:rsid w:val="00283123"/>
    <w:rsid w:val="00290925"/>
    <w:rsid w:val="002926DF"/>
    <w:rsid w:val="00292A8F"/>
    <w:rsid w:val="0029369D"/>
    <w:rsid w:val="00293941"/>
    <w:rsid w:val="002965F4"/>
    <w:rsid w:val="00296697"/>
    <w:rsid w:val="002A31E7"/>
    <w:rsid w:val="002A5486"/>
    <w:rsid w:val="002A6204"/>
    <w:rsid w:val="002B0472"/>
    <w:rsid w:val="002B081A"/>
    <w:rsid w:val="002B507B"/>
    <w:rsid w:val="002B5530"/>
    <w:rsid w:val="002B59C8"/>
    <w:rsid w:val="002B5DAF"/>
    <w:rsid w:val="002B6974"/>
    <w:rsid w:val="002B6B12"/>
    <w:rsid w:val="002B771C"/>
    <w:rsid w:val="002B7AA3"/>
    <w:rsid w:val="002C2E77"/>
    <w:rsid w:val="002C47D7"/>
    <w:rsid w:val="002C4C11"/>
    <w:rsid w:val="002C610B"/>
    <w:rsid w:val="002C7AC8"/>
    <w:rsid w:val="002D40AE"/>
    <w:rsid w:val="002D5B46"/>
    <w:rsid w:val="002D6C0E"/>
    <w:rsid w:val="002E0267"/>
    <w:rsid w:val="002E1671"/>
    <w:rsid w:val="002E587D"/>
    <w:rsid w:val="002E58AF"/>
    <w:rsid w:val="002E6140"/>
    <w:rsid w:val="002E6985"/>
    <w:rsid w:val="002E71B6"/>
    <w:rsid w:val="002F3EFF"/>
    <w:rsid w:val="002F6ACB"/>
    <w:rsid w:val="002F7556"/>
    <w:rsid w:val="002F77C8"/>
    <w:rsid w:val="00301BC5"/>
    <w:rsid w:val="003036D2"/>
    <w:rsid w:val="00304F22"/>
    <w:rsid w:val="00304F84"/>
    <w:rsid w:val="00306C7C"/>
    <w:rsid w:val="00307E7B"/>
    <w:rsid w:val="003114B7"/>
    <w:rsid w:val="003118BD"/>
    <w:rsid w:val="00311CFA"/>
    <w:rsid w:val="003121CA"/>
    <w:rsid w:val="0031233C"/>
    <w:rsid w:val="00312E4A"/>
    <w:rsid w:val="00313745"/>
    <w:rsid w:val="0031500C"/>
    <w:rsid w:val="003178D9"/>
    <w:rsid w:val="003207BD"/>
    <w:rsid w:val="00322EDD"/>
    <w:rsid w:val="003234AA"/>
    <w:rsid w:val="003242C2"/>
    <w:rsid w:val="0032606D"/>
    <w:rsid w:val="00330498"/>
    <w:rsid w:val="00330CCB"/>
    <w:rsid w:val="00331835"/>
    <w:rsid w:val="00332320"/>
    <w:rsid w:val="003337B5"/>
    <w:rsid w:val="003349D3"/>
    <w:rsid w:val="0033619D"/>
    <w:rsid w:val="00336CF5"/>
    <w:rsid w:val="003458C0"/>
    <w:rsid w:val="00347D72"/>
    <w:rsid w:val="003522DE"/>
    <w:rsid w:val="0035259D"/>
    <w:rsid w:val="00355078"/>
    <w:rsid w:val="003554BB"/>
    <w:rsid w:val="00355C6F"/>
    <w:rsid w:val="00356D9F"/>
    <w:rsid w:val="0035753B"/>
    <w:rsid w:val="00357611"/>
    <w:rsid w:val="00365BD5"/>
    <w:rsid w:val="00367237"/>
    <w:rsid w:val="0037077F"/>
    <w:rsid w:val="00372411"/>
    <w:rsid w:val="00373013"/>
    <w:rsid w:val="003730FC"/>
    <w:rsid w:val="00373882"/>
    <w:rsid w:val="00373E5F"/>
    <w:rsid w:val="003747F6"/>
    <w:rsid w:val="003751F4"/>
    <w:rsid w:val="00376597"/>
    <w:rsid w:val="003771B5"/>
    <w:rsid w:val="0037773B"/>
    <w:rsid w:val="003825CB"/>
    <w:rsid w:val="003843DB"/>
    <w:rsid w:val="003846C5"/>
    <w:rsid w:val="00385C93"/>
    <w:rsid w:val="00385E73"/>
    <w:rsid w:val="00387D3F"/>
    <w:rsid w:val="003916FA"/>
    <w:rsid w:val="00392D0E"/>
    <w:rsid w:val="00393761"/>
    <w:rsid w:val="00393AA2"/>
    <w:rsid w:val="00394807"/>
    <w:rsid w:val="00394FCF"/>
    <w:rsid w:val="003954D7"/>
    <w:rsid w:val="003958CC"/>
    <w:rsid w:val="00395E90"/>
    <w:rsid w:val="00396C61"/>
    <w:rsid w:val="00397D18"/>
    <w:rsid w:val="003A1B36"/>
    <w:rsid w:val="003A3950"/>
    <w:rsid w:val="003A60F8"/>
    <w:rsid w:val="003B1454"/>
    <w:rsid w:val="003B18B6"/>
    <w:rsid w:val="003B4951"/>
    <w:rsid w:val="003B4D7C"/>
    <w:rsid w:val="003B6FBA"/>
    <w:rsid w:val="003B7E49"/>
    <w:rsid w:val="003C5187"/>
    <w:rsid w:val="003C59E0"/>
    <w:rsid w:val="003C6C8D"/>
    <w:rsid w:val="003D34CA"/>
    <w:rsid w:val="003D4F95"/>
    <w:rsid w:val="003D5F42"/>
    <w:rsid w:val="003D60A9"/>
    <w:rsid w:val="003D777B"/>
    <w:rsid w:val="003E2FAE"/>
    <w:rsid w:val="003E4BD0"/>
    <w:rsid w:val="003E5663"/>
    <w:rsid w:val="003E6062"/>
    <w:rsid w:val="003F2F00"/>
    <w:rsid w:val="003F4C97"/>
    <w:rsid w:val="003F5631"/>
    <w:rsid w:val="003F7D84"/>
    <w:rsid w:val="003F7FE6"/>
    <w:rsid w:val="00400193"/>
    <w:rsid w:val="0040418B"/>
    <w:rsid w:val="00404B6D"/>
    <w:rsid w:val="00404CFD"/>
    <w:rsid w:val="00405AFC"/>
    <w:rsid w:val="004065A1"/>
    <w:rsid w:val="00406ECA"/>
    <w:rsid w:val="004074DD"/>
    <w:rsid w:val="00413181"/>
    <w:rsid w:val="00414831"/>
    <w:rsid w:val="00416EEE"/>
    <w:rsid w:val="00420A3E"/>
    <w:rsid w:val="00420F7F"/>
    <w:rsid w:val="004212E7"/>
    <w:rsid w:val="00421F9D"/>
    <w:rsid w:val="00423DE0"/>
    <w:rsid w:val="0042446D"/>
    <w:rsid w:val="004244E8"/>
    <w:rsid w:val="0042722B"/>
    <w:rsid w:val="0042738D"/>
    <w:rsid w:val="004275F3"/>
    <w:rsid w:val="0042777A"/>
    <w:rsid w:val="00427BF8"/>
    <w:rsid w:val="00431C02"/>
    <w:rsid w:val="004325D9"/>
    <w:rsid w:val="004336E5"/>
    <w:rsid w:val="00434B34"/>
    <w:rsid w:val="00437395"/>
    <w:rsid w:val="0044048B"/>
    <w:rsid w:val="0044252C"/>
    <w:rsid w:val="00445047"/>
    <w:rsid w:val="00445A88"/>
    <w:rsid w:val="00451634"/>
    <w:rsid w:val="00453100"/>
    <w:rsid w:val="0045678C"/>
    <w:rsid w:val="00461E4A"/>
    <w:rsid w:val="00462239"/>
    <w:rsid w:val="004637CC"/>
    <w:rsid w:val="00463E39"/>
    <w:rsid w:val="00464117"/>
    <w:rsid w:val="004657FC"/>
    <w:rsid w:val="004733F6"/>
    <w:rsid w:val="00474E69"/>
    <w:rsid w:val="00476103"/>
    <w:rsid w:val="00480AE4"/>
    <w:rsid w:val="00480D19"/>
    <w:rsid w:val="00482BCB"/>
    <w:rsid w:val="00485750"/>
    <w:rsid w:val="0048683F"/>
    <w:rsid w:val="004904D2"/>
    <w:rsid w:val="0049309C"/>
    <w:rsid w:val="00494A26"/>
    <w:rsid w:val="004961CE"/>
    <w:rsid w:val="0049621B"/>
    <w:rsid w:val="004A09CD"/>
    <w:rsid w:val="004A47B4"/>
    <w:rsid w:val="004A703F"/>
    <w:rsid w:val="004A7982"/>
    <w:rsid w:val="004B0E4F"/>
    <w:rsid w:val="004B4D47"/>
    <w:rsid w:val="004B64CB"/>
    <w:rsid w:val="004B70E3"/>
    <w:rsid w:val="004C10BD"/>
    <w:rsid w:val="004C1895"/>
    <w:rsid w:val="004C272A"/>
    <w:rsid w:val="004C31B5"/>
    <w:rsid w:val="004C36A1"/>
    <w:rsid w:val="004C67F3"/>
    <w:rsid w:val="004C67F4"/>
    <w:rsid w:val="004C6B3A"/>
    <w:rsid w:val="004C6D40"/>
    <w:rsid w:val="004D0823"/>
    <w:rsid w:val="004D110F"/>
    <w:rsid w:val="004D2FC7"/>
    <w:rsid w:val="004D3C4D"/>
    <w:rsid w:val="004D5B82"/>
    <w:rsid w:val="004E34E8"/>
    <w:rsid w:val="004E4684"/>
    <w:rsid w:val="004E5D10"/>
    <w:rsid w:val="004E5DAF"/>
    <w:rsid w:val="004F095B"/>
    <w:rsid w:val="004F0C3C"/>
    <w:rsid w:val="004F0F5C"/>
    <w:rsid w:val="004F17F1"/>
    <w:rsid w:val="004F244C"/>
    <w:rsid w:val="004F2757"/>
    <w:rsid w:val="004F44DB"/>
    <w:rsid w:val="004F5057"/>
    <w:rsid w:val="004F63FC"/>
    <w:rsid w:val="00500C38"/>
    <w:rsid w:val="00502257"/>
    <w:rsid w:val="00502A28"/>
    <w:rsid w:val="00503ECF"/>
    <w:rsid w:val="00505A92"/>
    <w:rsid w:val="00506A65"/>
    <w:rsid w:val="00510260"/>
    <w:rsid w:val="005166A4"/>
    <w:rsid w:val="005203F1"/>
    <w:rsid w:val="00520A66"/>
    <w:rsid w:val="00521BC3"/>
    <w:rsid w:val="00524A4C"/>
    <w:rsid w:val="00525219"/>
    <w:rsid w:val="00525334"/>
    <w:rsid w:val="00526AC1"/>
    <w:rsid w:val="00527C62"/>
    <w:rsid w:val="00533632"/>
    <w:rsid w:val="00533D1C"/>
    <w:rsid w:val="00534E8F"/>
    <w:rsid w:val="00534F56"/>
    <w:rsid w:val="00536F25"/>
    <w:rsid w:val="00537D08"/>
    <w:rsid w:val="00537E0E"/>
    <w:rsid w:val="00540DB6"/>
    <w:rsid w:val="00541D2D"/>
    <w:rsid w:val="00541DDE"/>
    <w:rsid w:val="00541E6E"/>
    <w:rsid w:val="0054251F"/>
    <w:rsid w:val="00542602"/>
    <w:rsid w:val="0054526F"/>
    <w:rsid w:val="0055000D"/>
    <w:rsid w:val="00550C1C"/>
    <w:rsid w:val="00550C43"/>
    <w:rsid w:val="005520D8"/>
    <w:rsid w:val="00555AFB"/>
    <w:rsid w:val="00556CF1"/>
    <w:rsid w:val="00561410"/>
    <w:rsid w:val="00563CCA"/>
    <w:rsid w:val="00564E40"/>
    <w:rsid w:val="00571F18"/>
    <w:rsid w:val="00572648"/>
    <w:rsid w:val="00573758"/>
    <w:rsid w:val="005762A7"/>
    <w:rsid w:val="00576B5A"/>
    <w:rsid w:val="00577B6D"/>
    <w:rsid w:val="00581245"/>
    <w:rsid w:val="00583292"/>
    <w:rsid w:val="00583A56"/>
    <w:rsid w:val="0058436B"/>
    <w:rsid w:val="0058688A"/>
    <w:rsid w:val="00587503"/>
    <w:rsid w:val="005875E0"/>
    <w:rsid w:val="00590915"/>
    <w:rsid w:val="005916D7"/>
    <w:rsid w:val="00592C55"/>
    <w:rsid w:val="00592F58"/>
    <w:rsid w:val="00592FB8"/>
    <w:rsid w:val="00593552"/>
    <w:rsid w:val="00594E4B"/>
    <w:rsid w:val="005A01F8"/>
    <w:rsid w:val="005A0B7D"/>
    <w:rsid w:val="005A24BC"/>
    <w:rsid w:val="005A3595"/>
    <w:rsid w:val="005A65F8"/>
    <w:rsid w:val="005A67ED"/>
    <w:rsid w:val="005A698C"/>
    <w:rsid w:val="005B03A5"/>
    <w:rsid w:val="005B1329"/>
    <w:rsid w:val="005C223C"/>
    <w:rsid w:val="005C44E6"/>
    <w:rsid w:val="005C4791"/>
    <w:rsid w:val="005C58C3"/>
    <w:rsid w:val="005C5D2E"/>
    <w:rsid w:val="005C71EB"/>
    <w:rsid w:val="005D2F24"/>
    <w:rsid w:val="005D4FE0"/>
    <w:rsid w:val="005D73DB"/>
    <w:rsid w:val="005D7BA7"/>
    <w:rsid w:val="005E0799"/>
    <w:rsid w:val="005E09A9"/>
    <w:rsid w:val="005E0DDC"/>
    <w:rsid w:val="005E234C"/>
    <w:rsid w:val="005E353D"/>
    <w:rsid w:val="005E385A"/>
    <w:rsid w:val="005E50A7"/>
    <w:rsid w:val="005E7DDE"/>
    <w:rsid w:val="005F0F2F"/>
    <w:rsid w:val="005F2F9D"/>
    <w:rsid w:val="005F55E1"/>
    <w:rsid w:val="005F5A80"/>
    <w:rsid w:val="005F65AF"/>
    <w:rsid w:val="005F7094"/>
    <w:rsid w:val="005F7696"/>
    <w:rsid w:val="0060074B"/>
    <w:rsid w:val="006044FF"/>
    <w:rsid w:val="00607CC5"/>
    <w:rsid w:val="006114CA"/>
    <w:rsid w:val="006117CA"/>
    <w:rsid w:val="00611BFD"/>
    <w:rsid w:val="00612F64"/>
    <w:rsid w:val="006144B5"/>
    <w:rsid w:val="00614508"/>
    <w:rsid w:val="00615F8D"/>
    <w:rsid w:val="00621826"/>
    <w:rsid w:val="00622DCD"/>
    <w:rsid w:val="006253EE"/>
    <w:rsid w:val="006300F6"/>
    <w:rsid w:val="00631C7C"/>
    <w:rsid w:val="00633014"/>
    <w:rsid w:val="006341F2"/>
    <w:rsid w:val="0063437B"/>
    <w:rsid w:val="00635A5D"/>
    <w:rsid w:val="00635C9E"/>
    <w:rsid w:val="00637A28"/>
    <w:rsid w:val="006404C1"/>
    <w:rsid w:val="00640A84"/>
    <w:rsid w:val="006447BF"/>
    <w:rsid w:val="006447F8"/>
    <w:rsid w:val="00644BC2"/>
    <w:rsid w:val="00652344"/>
    <w:rsid w:val="00654A3B"/>
    <w:rsid w:val="006560C5"/>
    <w:rsid w:val="0066048F"/>
    <w:rsid w:val="00660B38"/>
    <w:rsid w:val="00663C04"/>
    <w:rsid w:val="006673CA"/>
    <w:rsid w:val="006706B8"/>
    <w:rsid w:val="00673C26"/>
    <w:rsid w:val="00676923"/>
    <w:rsid w:val="00677E82"/>
    <w:rsid w:val="00677EC8"/>
    <w:rsid w:val="0068118E"/>
    <w:rsid w:val="006812AF"/>
    <w:rsid w:val="00682001"/>
    <w:rsid w:val="0068327D"/>
    <w:rsid w:val="00683B6C"/>
    <w:rsid w:val="00684F30"/>
    <w:rsid w:val="006853DC"/>
    <w:rsid w:val="00690204"/>
    <w:rsid w:val="0069206E"/>
    <w:rsid w:val="00693014"/>
    <w:rsid w:val="00693D2E"/>
    <w:rsid w:val="00694AF0"/>
    <w:rsid w:val="006959A8"/>
    <w:rsid w:val="00696F67"/>
    <w:rsid w:val="006A4686"/>
    <w:rsid w:val="006A5621"/>
    <w:rsid w:val="006A6F06"/>
    <w:rsid w:val="006A76E7"/>
    <w:rsid w:val="006B00F4"/>
    <w:rsid w:val="006B0E9E"/>
    <w:rsid w:val="006B300D"/>
    <w:rsid w:val="006B464C"/>
    <w:rsid w:val="006B5137"/>
    <w:rsid w:val="006B5431"/>
    <w:rsid w:val="006B560C"/>
    <w:rsid w:val="006B5AE4"/>
    <w:rsid w:val="006C0809"/>
    <w:rsid w:val="006C155F"/>
    <w:rsid w:val="006C3B25"/>
    <w:rsid w:val="006C6223"/>
    <w:rsid w:val="006C7673"/>
    <w:rsid w:val="006C7EFB"/>
    <w:rsid w:val="006D1507"/>
    <w:rsid w:val="006D22B7"/>
    <w:rsid w:val="006D4054"/>
    <w:rsid w:val="006D675F"/>
    <w:rsid w:val="006D7002"/>
    <w:rsid w:val="006E02EC"/>
    <w:rsid w:val="006E469F"/>
    <w:rsid w:val="006E5323"/>
    <w:rsid w:val="006E6307"/>
    <w:rsid w:val="006E7033"/>
    <w:rsid w:val="006F0DD2"/>
    <w:rsid w:val="006F180B"/>
    <w:rsid w:val="006F329E"/>
    <w:rsid w:val="006F6F21"/>
    <w:rsid w:val="006F7C0C"/>
    <w:rsid w:val="0070085D"/>
    <w:rsid w:val="00701962"/>
    <w:rsid w:val="00710F6B"/>
    <w:rsid w:val="00712F16"/>
    <w:rsid w:val="00713284"/>
    <w:rsid w:val="00715A5F"/>
    <w:rsid w:val="00717933"/>
    <w:rsid w:val="007211B1"/>
    <w:rsid w:val="00722FB8"/>
    <w:rsid w:val="0072500D"/>
    <w:rsid w:val="0072590B"/>
    <w:rsid w:val="007259EB"/>
    <w:rsid w:val="00727C94"/>
    <w:rsid w:val="00727D24"/>
    <w:rsid w:val="00730371"/>
    <w:rsid w:val="007307D2"/>
    <w:rsid w:val="00730864"/>
    <w:rsid w:val="00733044"/>
    <w:rsid w:val="00735402"/>
    <w:rsid w:val="00740623"/>
    <w:rsid w:val="00746187"/>
    <w:rsid w:val="00752D54"/>
    <w:rsid w:val="0076198A"/>
    <w:rsid w:val="00761CE6"/>
    <w:rsid w:val="007621D9"/>
    <w:rsid w:val="0076229C"/>
    <w:rsid w:val="0076254F"/>
    <w:rsid w:val="00762D41"/>
    <w:rsid w:val="00767197"/>
    <w:rsid w:val="007675BD"/>
    <w:rsid w:val="007703CC"/>
    <w:rsid w:val="00772936"/>
    <w:rsid w:val="00773560"/>
    <w:rsid w:val="00775B59"/>
    <w:rsid w:val="007801F5"/>
    <w:rsid w:val="00780601"/>
    <w:rsid w:val="0078161F"/>
    <w:rsid w:val="00781BEE"/>
    <w:rsid w:val="00782CE1"/>
    <w:rsid w:val="00782EC7"/>
    <w:rsid w:val="00783CA4"/>
    <w:rsid w:val="007842FB"/>
    <w:rsid w:val="00786124"/>
    <w:rsid w:val="007879F6"/>
    <w:rsid w:val="0079430D"/>
    <w:rsid w:val="0079514B"/>
    <w:rsid w:val="007964A8"/>
    <w:rsid w:val="0079795F"/>
    <w:rsid w:val="007A1F68"/>
    <w:rsid w:val="007A2DC1"/>
    <w:rsid w:val="007A525D"/>
    <w:rsid w:val="007A6671"/>
    <w:rsid w:val="007B16B9"/>
    <w:rsid w:val="007B1FA1"/>
    <w:rsid w:val="007B20EE"/>
    <w:rsid w:val="007B228E"/>
    <w:rsid w:val="007B36F7"/>
    <w:rsid w:val="007B3D5D"/>
    <w:rsid w:val="007B4B7B"/>
    <w:rsid w:val="007B4C18"/>
    <w:rsid w:val="007C5395"/>
    <w:rsid w:val="007C6B31"/>
    <w:rsid w:val="007D2B02"/>
    <w:rsid w:val="007D3319"/>
    <w:rsid w:val="007D335D"/>
    <w:rsid w:val="007D648F"/>
    <w:rsid w:val="007E0113"/>
    <w:rsid w:val="007E26DD"/>
    <w:rsid w:val="007E313E"/>
    <w:rsid w:val="007E3314"/>
    <w:rsid w:val="007E3DE3"/>
    <w:rsid w:val="007E4B03"/>
    <w:rsid w:val="007E5431"/>
    <w:rsid w:val="007F0938"/>
    <w:rsid w:val="007F0B45"/>
    <w:rsid w:val="007F2E91"/>
    <w:rsid w:val="007F324B"/>
    <w:rsid w:val="007F659E"/>
    <w:rsid w:val="007F7406"/>
    <w:rsid w:val="007F77B7"/>
    <w:rsid w:val="00803F43"/>
    <w:rsid w:val="0080553C"/>
    <w:rsid w:val="0080598D"/>
    <w:rsid w:val="00805B46"/>
    <w:rsid w:val="00807102"/>
    <w:rsid w:val="0081087C"/>
    <w:rsid w:val="008121C9"/>
    <w:rsid w:val="00812DE1"/>
    <w:rsid w:val="0081332B"/>
    <w:rsid w:val="008145E0"/>
    <w:rsid w:val="00815542"/>
    <w:rsid w:val="00820BCE"/>
    <w:rsid w:val="00825DC2"/>
    <w:rsid w:val="008269A1"/>
    <w:rsid w:val="008271CA"/>
    <w:rsid w:val="008308D7"/>
    <w:rsid w:val="008312BF"/>
    <w:rsid w:val="00832E34"/>
    <w:rsid w:val="00832E51"/>
    <w:rsid w:val="00834AD3"/>
    <w:rsid w:val="00836447"/>
    <w:rsid w:val="008404A9"/>
    <w:rsid w:val="00840F76"/>
    <w:rsid w:val="00843795"/>
    <w:rsid w:val="008446B4"/>
    <w:rsid w:val="0084495F"/>
    <w:rsid w:val="00847F0F"/>
    <w:rsid w:val="00850E05"/>
    <w:rsid w:val="00850EE8"/>
    <w:rsid w:val="00852448"/>
    <w:rsid w:val="00853B98"/>
    <w:rsid w:val="00855404"/>
    <w:rsid w:val="00855E8A"/>
    <w:rsid w:val="00856ACA"/>
    <w:rsid w:val="00856DD0"/>
    <w:rsid w:val="00863C7A"/>
    <w:rsid w:val="00864414"/>
    <w:rsid w:val="00864F6B"/>
    <w:rsid w:val="00866972"/>
    <w:rsid w:val="00867DCE"/>
    <w:rsid w:val="008736E8"/>
    <w:rsid w:val="008745CC"/>
    <w:rsid w:val="00875BB5"/>
    <w:rsid w:val="00875F31"/>
    <w:rsid w:val="0088133D"/>
    <w:rsid w:val="00881DB6"/>
    <w:rsid w:val="0088258A"/>
    <w:rsid w:val="00882B2A"/>
    <w:rsid w:val="0088367E"/>
    <w:rsid w:val="00884A97"/>
    <w:rsid w:val="00885518"/>
    <w:rsid w:val="00885614"/>
    <w:rsid w:val="00886332"/>
    <w:rsid w:val="00886407"/>
    <w:rsid w:val="00886CD4"/>
    <w:rsid w:val="0089279A"/>
    <w:rsid w:val="00894E73"/>
    <w:rsid w:val="008A26D9"/>
    <w:rsid w:val="008A34EA"/>
    <w:rsid w:val="008A4A7C"/>
    <w:rsid w:val="008A6C9E"/>
    <w:rsid w:val="008A72A1"/>
    <w:rsid w:val="008B0AF1"/>
    <w:rsid w:val="008B1521"/>
    <w:rsid w:val="008B1D94"/>
    <w:rsid w:val="008B2087"/>
    <w:rsid w:val="008B2CE4"/>
    <w:rsid w:val="008B4E9F"/>
    <w:rsid w:val="008B58EE"/>
    <w:rsid w:val="008B6466"/>
    <w:rsid w:val="008B64CE"/>
    <w:rsid w:val="008B70CC"/>
    <w:rsid w:val="008B7701"/>
    <w:rsid w:val="008C0C29"/>
    <w:rsid w:val="008C2E0B"/>
    <w:rsid w:val="008C6854"/>
    <w:rsid w:val="008C757D"/>
    <w:rsid w:val="008C7D32"/>
    <w:rsid w:val="008D20AA"/>
    <w:rsid w:val="008D2BE7"/>
    <w:rsid w:val="008D64CE"/>
    <w:rsid w:val="008E00AB"/>
    <w:rsid w:val="008E0859"/>
    <w:rsid w:val="008E0A56"/>
    <w:rsid w:val="008E0F6C"/>
    <w:rsid w:val="008E2224"/>
    <w:rsid w:val="008E25F6"/>
    <w:rsid w:val="008E3F25"/>
    <w:rsid w:val="008E62D1"/>
    <w:rsid w:val="008F0716"/>
    <w:rsid w:val="008F2B5C"/>
    <w:rsid w:val="008F3326"/>
    <w:rsid w:val="008F3638"/>
    <w:rsid w:val="008F4441"/>
    <w:rsid w:val="008F4685"/>
    <w:rsid w:val="008F551C"/>
    <w:rsid w:val="008F6F31"/>
    <w:rsid w:val="008F74DF"/>
    <w:rsid w:val="0090771C"/>
    <w:rsid w:val="009127BA"/>
    <w:rsid w:val="00915127"/>
    <w:rsid w:val="009227A6"/>
    <w:rsid w:val="00925501"/>
    <w:rsid w:val="00925B70"/>
    <w:rsid w:val="009308F3"/>
    <w:rsid w:val="00933EC1"/>
    <w:rsid w:val="00940337"/>
    <w:rsid w:val="00944056"/>
    <w:rsid w:val="009474E8"/>
    <w:rsid w:val="009530DB"/>
    <w:rsid w:val="00953676"/>
    <w:rsid w:val="009544DB"/>
    <w:rsid w:val="00954D20"/>
    <w:rsid w:val="00955174"/>
    <w:rsid w:val="009563BD"/>
    <w:rsid w:val="0095647D"/>
    <w:rsid w:val="0095777F"/>
    <w:rsid w:val="00962347"/>
    <w:rsid w:val="00963530"/>
    <w:rsid w:val="00965494"/>
    <w:rsid w:val="009705EE"/>
    <w:rsid w:val="00972825"/>
    <w:rsid w:val="009746BD"/>
    <w:rsid w:val="00977927"/>
    <w:rsid w:val="00980C6B"/>
    <w:rsid w:val="0098135C"/>
    <w:rsid w:val="0098156A"/>
    <w:rsid w:val="00982507"/>
    <w:rsid w:val="00982B15"/>
    <w:rsid w:val="009837B1"/>
    <w:rsid w:val="00983D8E"/>
    <w:rsid w:val="00984298"/>
    <w:rsid w:val="00984866"/>
    <w:rsid w:val="00984947"/>
    <w:rsid w:val="00984AF6"/>
    <w:rsid w:val="00984B14"/>
    <w:rsid w:val="00991BAC"/>
    <w:rsid w:val="00995522"/>
    <w:rsid w:val="009A008C"/>
    <w:rsid w:val="009A26E5"/>
    <w:rsid w:val="009A3C07"/>
    <w:rsid w:val="009A40DE"/>
    <w:rsid w:val="009A5927"/>
    <w:rsid w:val="009A6EA0"/>
    <w:rsid w:val="009A7858"/>
    <w:rsid w:val="009A79F4"/>
    <w:rsid w:val="009B5ABD"/>
    <w:rsid w:val="009C1005"/>
    <w:rsid w:val="009C1335"/>
    <w:rsid w:val="009C1AB2"/>
    <w:rsid w:val="009C416D"/>
    <w:rsid w:val="009C4182"/>
    <w:rsid w:val="009C4558"/>
    <w:rsid w:val="009C588D"/>
    <w:rsid w:val="009C5C58"/>
    <w:rsid w:val="009C7251"/>
    <w:rsid w:val="009D56D0"/>
    <w:rsid w:val="009E0CE4"/>
    <w:rsid w:val="009E2E91"/>
    <w:rsid w:val="009E3F8F"/>
    <w:rsid w:val="009E460C"/>
    <w:rsid w:val="009F229F"/>
    <w:rsid w:val="009F3EA2"/>
    <w:rsid w:val="009F5429"/>
    <w:rsid w:val="009F6CF3"/>
    <w:rsid w:val="009F7A4E"/>
    <w:rsid w:val="00A00E7C"/>
    <w:rsid w:val="00A012A7"/>
    <w:rsid w:val="00A036A0"/>
    <w:rsid w:val="00A064AE"/>
    <w:rsid w:val="00A139F5"/>
    <w:rsid w:val="00A14032"/>
    <w:rsid w:val="00A17B84"/>
    <w:rsid w:val="00A231C0"/>
    <w:rsid w:val="00A24C30"/>
    <w:rsid w:val="00A25E21"/>
    <w:rsid w:val="00A25EC5"/>
    <w:rsid w:val="00A26AA9"/>
    <w:rsid w:val="00A30C5F"/>
    <w:rsid w:val="00A31408"/>
    <w:rsid w:val="00A31ADD"/>
    <w:rsid w:val="00A31F0D"/>
    <w:rsid w:val="00A33554"/>
    <w:rsid w:val="00A365F4"/>
    <w:rsid w:val="00A36B95"/>
    <w:rsid w:val="00A36FCE"/>
    <w:rsid w:val="00A40198"/>
    <w:rsid w:val="00A410BD"/>
    <w:rsid w:val="00A446C6"/>
    <w:rsid w:val="00A4472F"/>
    <w:rsid w:val="00A45683"/>
    <w:rsid w:val="00A45B85"/>
    <w:rsid w:val="00A475BC"/>
    <w:rsid w:val="00A47691"/>
    <w:rsid w:val="00A47D80"/>
    <w:rsid w:val="00A51D8A"/>
    <w:rsid w:val="00A53132"/>
    <w:rsid w:val="00A54B6E"/>
    <w:rsid w:val="00A553C4"/>
    <w:rsid w:val="00A55A6C"/>
    <w:rsid w:val="00A563F2"/>
    <w:rsid w:val="00A566E8"/>
    <w:rsid w:val="00A61CEB"/>
    <w:rsid w:val="00A64A5E"/>
    <w:rsid w:val="00A6676A"/>
    <w:rsid w:val="00A67566"/>
    <w:rsid w:val="00A675D3"/>
    <w:rsid w:val="00A67BFC"/>
    <w:rsid w:val="00A701CF"/>
    <w:rsid w:val="00A70943"/>
    <w:rsid w:val="00A70F86"/>
    <w:rsid w:val="00A72618"/>
    <w:rsid w:val="00A72F15"/>
    <w:rsid w:val="00A752FF"/>
    <w:rsid w:val="00A754B4"/>
    <w:rsid w:val="00A76234"/>
    <w:rsid w:val="00A809B8"/>
    <w:rsid w:val="00A80BC2"/>
    <w:rsid w:val="00A810F9"/>
    <w:rsid w:val="00A8178A"/>
    <w:rsid w:val="00A851C2"/>
    <w:rsid w:val="00A86CFF"/>
    <w:rsid w:val="00A86ECC"/>
    <w:rsid w:val="00A86FCC"/>
    <w:rsid w:val="00A94D4D"/>
    <w:rsid w:val="00AA5FBA"/>
    <w:rsid w:val="00AA66CE"/>
    <w:rsid w:val="00AA710D"/>
    <w:rsid w:val="00AB0077"/>
    <w:rsid w:val="00AB021C"/>
    <w:rsid w:val="00AB35A9"/>
    <w:rsid w:val="00AB531C"/>
    <w:rsid w:val="00AB5A6C"/>
    <w:rsid w:val="00AB5C2A"/>
    <w:rsid w:val="00AB6017"/>
    <w:rsid w:val="00AB6417"/>
    <w:rsid w:val="00AB6D25"/>
    <w:rsid w:val="00AB7FDE"/>
    <w:rsid w:val="00AC57EF"/>
    <w:rsid w:val="00AC628E"/>
    <w:rsid w:val="00AC6787"/>
    <w:rsid w:val="00AC6A49"/>
    <w:rsid w:val="00AD03DE"/>
    <w:rsid w:val="00AD17C9"/>
    <w:rsid w:val="00AD341A"/>
    <w:rsid w:val="00AD5AA6"/>
    <w:rsid w:val="00AD5E31"/>
    <w:rsid w:val="00AD5F83"/>
    <w:rsid w:val="00AD6B6E"/>
    <w:rsid w:val="00AE139F"/>
    <w:rsid w:val="00AE25A6"/>
    <w:rsid w:val="00AE2D4B"/>
    <w:rsid w:val="00AE35CC"/>
    <w:rsid w:val="00AE417F"/>
    <w:rsid w:val="00AE4A5B"/>
    <w:rsid w:val="00AE4F99"/>
    <w:rsid w:val="00AE59BC"/>
    <w:rsid w:val="00AE670B"/>
    <w:rsid w:val="00AF2F3F"/>
    <w:rsid w:val="00AF402B"/>
    <w:rsid w:val="00AF54E0"/>
    <w:rsid w:val="00B00DE3"/>
    <w:rsid w:val="00B05ED1"/>
    <w:rsid w:val="00B14155"/>
    <w:rsid w:val="00B142B0"/>
    <w:rsid w:val="00B14952"/>
    <w:rsid w:val="00B207C7"/>
    <w:rsid w:val="00B21B4B"/>
    <w:rsid w:val="00B2753D"/>
    <w:rsid w:val="00B2755E"/>
    <w:rsid w:val="00B31E5A"/>
    <w:rsid w:val="00B34EA9"/>
    <w:rsid w:val="00B3735E"/>
    <w:rsid w:val="00B421E5"/>
    <w:rsid w:val="00B42AD9"/>
    <w:rsid w:val="00B43103"/>
    <w:rsid w:val="00B4482A"/>
    <w:rsid w:val="00B472A9"/>
    <w:rsid w:val="00B51FDF"/>
    <w:rsid w:val="00B54BB6"/>
    <w:rsid w:val="00B550C8"/>
    <w:rsid w:val="00B556C8"/>
    <w:rsid w:val="00B557C1"/>
    <w:rsid w:val="00B624BA"/>
    <w:rsid w:val="00B62A60"/>
    <w:rsid w:val="00B653AB"/>
    <w:rsid w:val="00B65F9E"/>
    <w:rsid w:val="00B660F4"/>
    <w:rsid w:val="00B66B19"/>
    <w:rsid w:val="00B70552"/>
    <w:rsid w:val="00B75189"/>
    <w:rsid w:val="00B80651"/>
    <w:rsid w:val="00B85493"/>
    <w:rsid w:val="00B90745"/>
    <w:rsid w:val="00B914E9"/>
    <w:rsid w:val="00B93BE1"/>
    <w:rsid w:val="00B9417A"/>
    <w:rsid w:val="00B956EE"/>
    <w:rsid w:val="00BA235E"/>
    <w:rsid w:val="00BA2BA1"/>
    <w:rsid w:val="00BA5EC2"/>
    <w:rsid w:val="00BB168C"/>
    <w:rsid w:val="00BB24A4"/>
    <w:rsid w:val="00BB2D28"/>
    <w:rsid w:val="00BB4F09"/>
    <w:rsid w:val="00BB72B2"/>
    <w:rsid w:val="00BC34D1"/>
    <w:rsid w:val="00BC57FB"/>
    <w:rsid w:val="00BC5CD1"/>
    <w:rsid w:val="00BC668F"/>
    <w:rsid w:val="00BC714E"/>
    <w:rsid w:val="00BD0E70"/>
    <w:rsid w:val="00BD4E33"/>
    <w:rsid w:val="00BD7129"/>
    <w:rsid w:val="00BD7A6C"/>
    <w:rsid w:val="00BE096C"/>
    <w:rsid w:val="00BE3570"/>
    <w:rsid w:val="00BF19D7"/>
    <w:rsid w:val="00BF5157"/>
    <w:rsid w:val="00C0096A"/>
    <w:rsid w:val="00C00C55"/>
    <w:rsid w:val="00C018FE"/>
    <w:rsid w:val="00C030DE"/>
    <w:rsid w:val="00C061F5"/>
    <w:rsid w:val="00C1027A"/>
    <w:rsid w:val="00C103CB"/>
    <w:rsid w:val="00C10E67"/>
    <w:rsid w:val="00C11598"/>
    <w:rsid w:val="00C11A27"/>
    <w:rsid w:val="00C13126"/>
    <w:rsid w:val="00C13F21"/>
    <w:rsid w:val="00C151DB"/>
    <w:rsid w:val="00C17227"/>
    <w:rsid w:val="00C17B6F"/>
    <w:rsid w:val="00C2123B"/>
    <w:rsid w:val="00C22105"/>
    <w:rsid w:val="00C239FA"/>
    <w:rsid w:val="00C23D86"/>
    <w:rsid w:val="00C244B6"/>
    <w:rsid w:val="00C2473C"/>
    <w:rsid w:val="00C24AED"/>
    <w:rsid w:val="00C3165A"/>
    <w:rsid w:val="00C33C77"/>
    <w:rsid w:val="00C354CF"/>
    <w:rsid w:val="00C36E98"/>
    <w:rsid w:val="00C3702F"/>
    <w:rsid w:val="00C403AF"/>
    <w:rsid w:val="00C50279"/>
    <w:rsid w:val="00C528EF"/>
    <w:rsid w:val="00C54312"/>
    <w:rsid w:val="00C5616F"/>
    <w:rsid w:val="00C578C6"/>
    <w:rsid w:val="00C60B68"/>
    <w:rsid w:val="00C61948"/>
    <w:rsid w:val="00C62F6E"/>
    <w:rsid w:val="00C64A37"/>
    <w:rsid w:val="00C64DB9"/>
    <w:rsid w:val="00C70BB0"/>
    <w:rsid w:val="00C7158E"/>
    <w:rsid w:val="00C72177"/>
    <w:rsid w:val="00C7250B"/>
    <w:rsid w:val="00C7346B"/>
    <w:rsid w:val="00C77988"/>
    <w:rsid w:val="00C77C0E"/>
    <w:rsid w:val="00C811ED"/>
    <w:rsid w:val="00C82296"/>
    <w:rsid w:val="00C82E61"/>
    <w:rsid w:val="00C837A4"/>
    <w:rsid w:val="00C83CDF"/>
    <w:rsid w:val="00C91687"/>
    <w:rsid w:val="00C92253"/>
    <w:rsid w:val="00C924A8"/>
    <w:rsid w:val="00C945FE"/>
    <w:rsid w:val="00C9530F"/>
    <w:rsid w:val="00C96FAA"/>
    <w:rsid w:val="00C9754A"/>
    <w:rsid w:val="00C97A04"/>
    <w:rsid w:val="00CA107B"/>
    <w:rsid w:val="00CA484D"/>
    <w:rsid w:val="00CA4FB6"/>
    <w:rsid w:val="00CA6E75"/>
    <w:rsid w:val="00CB1FEF"/>
    <w:rsid w:val="00CB6326"/>
    <w:rsid w:val="00CC0589"/>
    <w:rsid w:val="00CC1DF3"/>
    <w:rsid w:val="00CC5310"/>
    <w:rsid w:val="00CC59B3"/>
    <w:rsid w:val="00CC739E"/>
    <w:rsid w:val="00CC78D3"/>
    <w:rsid w:val="00CD1F9A"/>
    <w:rsid w:val="00CD22FF"/>
    <w:rsid w:val="00CD3138"/>
    <w:rsid w:val="00CD319A"/>
    <w:rsid w:val="00CD3973"/>
    <w:rsid w:val="00CD4AD1"/>
    <w:rsid w:val="00CD58B7"/>
    <w:rsid w:val="00CD758E"/>
    <w:rsid w:val="00CE4D2C"/>
    <w:rsid w:val="00CE60D0"/>
    <w:rsid w:val="00CE7300"/>
    <w:rsid w:val="00CF16A6"/>
    <w:rsid w:val="00CF4099"/>
    <w:rsid w:val="00CF69B0"/>
    <w:rsid w:val="00D00796"/>
    <w:rsid w:val="00D01698"/>
    <w:rsid w:val="00D05FCB"/>
    <w:rsid w:val="00D07C16"/>
    <w:rsid w:val="00D102D6"/>
    <w:rsid w:val="00D10C70"/>
    <w:rsid w:val="00D10E2F"/>
    <w:rsid w:val="00D11854"/>
    <w:rsid w:val="00D12BDD"/>
    <w:rsid w:val="00D13040"/>
    <w:rsid w:val="00D139A5"/>
    <w:rsid w:val="00D166AC"/>
    <w:rsid w:val="00D169ED"/>
    <w:rsid w:val="00D20CB5"/>
    <w:rsid w:val="00D22838"/>
    <w:rsid w:val="00D242DB"/>
    <w:rsid w:val="00D261A2"/>
    <w:rsid w:val="00D27C96"/>
    <w:rsid w:val="00D33CC4"/>
    <w:rsid w:val="00D34707"/>
    <w:rsid w:val="00D34C26"/>
    <w:rsid w:val="00D36043"/>
    <w:rsid w:val="00D42847"/>
    <w:rsid w:val="00D432E5"/>
    <w:rsid w:val="00D44E70"/>
    <w:rsid w:val="00D50F7B"/>
    <w:rsid w:val="00D5146F"/>
    <w:rsid w:val="00D519BE"/>
    <w:rsid w:val="00D51AC8"/>
    <w:rsid w:val="00D52FE4"/>
    <w:rsid w:val="00D53BF2"/>
    <w:rsid w:val="00D56113"/>
    <w:rsid w:val="00D577DD"/>
    <w:rsid w:val="00D60DC6"/>
    <w:rsid w:val="00D60E46"/>
    <w:rsid w:val="00D616D2"/>
    <w:rsid w:val="00D63B5F"/>
    <w:rsid w:val="00D642BD"/>
    <w:rsid w:val="00D64AFC"/>
    <w:rsid w:val="00D6541D"/>
    <w:rsid w:val="00D65514"/>
    <w:rsid w:val="00D70EF7"/>
    <w:rsid w:val="00D71E83"/>
    <w:rsid w:val="00D772BA"/>
    <w:rsid w:val="00D810CB"/>
    <w:rsid w:val="00D8397C"/>
    <w:rsid w:val="00D83C6F"/>
    <w:rsid w:val="00D83CEA"/>
    <w:rsid w:val="00D90805"/>
    <w:rsid w:val="00D91E2D"/>
    <w:rsid w:val="00D93003"/>
    <w:rsid w:val="00D938B5"/>
    <w:rsid w:val="00D944C5"/>
    <w:rsid w:val="00D94D5A"/>
    <w:rsid w:val="00D94EED"/>
    <w:rsid w:val="00D95F72"/>
    <w:rsid w:val="00D96026"/>
    <w:rsid w:val="00DA4678"/>
    <w:rsid w:val="00DA7C1C"/>
    <w:rsid w:val="00DB147A"/>
    <w:rsid w:val="00DB1B7A"/>
    <w:rsid w:val="00DB5995"/>
    <w:rsid w:val="00DB6EF2"/>
    <w:rsid w:val="00DB7D5E"/>
    <w:rsid w:val="00DC00B0"/>
    <w:rsid w:val="00DC6708"/>
    <w:rsid w:val="00DD3351"/>
    <w:rsid w:val="00DD3B11"/>
    <w:rsid w:val="00DD41AF"/>
    <w:rsid w:val="00DD6F0C"/>
    <w:rsid w:val="00DE25D6"/>
    <w:rsid w:val="00DE5DBF"/>
    <w:rsid w:val="00DF100C"/>
    <w:rsid w:val="00DF1D96"/>
    <w:rsid w:val="00DF21AB"/>
    <w:rsid w:val="00DF23CC"/>
    <w:rsid w:val="00DF28FD"/>
    <w:rsid w:val="00E01436"/>
    <w:rsid w:val="00E01A91"/>
    <w:rsid w:val="00E02410"/>
    <w:rsid w:val="00E0381F"/>
    <w:rsid w:val="00E0453B"/>
    <w:rsid w:val="00E045BD"/>
    <w:rsid w:val="00E0622F"/>
    <w:rsid w:val="00E1238D"/>
    <w:rsid w:val="00E15D38"/>
    <w:rsid w:val="00E173E5"/>
    <w:rsid w:val="00E17B77"/>
    <w:rsid w:val="00E17DD0"/>
    <w:rsid w:val="00E20FAC"/>
    <w:rsid w:val="00E21BFE"/>
    <w:rsid w:val="00E23337"/>
    <w:rsid w:val="00E259EA"/>
    <w:rsid w:val="00E301B6"/>
    <w:rsid w:val="00E30211"/>
    <w:rsid w:val="00E32061"/>
    <w:rsid w:val="00E34D35"/>
    <w:rsid w:val="00E35FB8"/>
    <w:rsid w:val="00E42EAE"/>
    <w:rsid w:val="00E42FF9"/>
    <w:rsid w:val="00E4389F"/>
    <w:rsid w:val="00E44036"/>
    <w:rsid w:val="00E46FFD"/>
    <w:rsid w:val="00E47102"/>
    <w:rsid w:val="00E4714C"/>
    <w:rsid w:val="00E47B7A"/>
    <w:rsid w:val="00E51AEB"/>
    <w:rsid w:val="00E522A7"/>
    <w:rsid w:val="00E5397B"/>
    <w:rsid w:val="00E54452"/>
    <w:rsid w:val="00E54FB4"/>
    <w:rsid w:val="00E56AD1"/>
    <w:rsid w:val="00E60241"/>
    <w:rsid w:val="00E61B66"/>
    <w:rsid w:val="00E62505"/>
    <w:rsid w:val="00E625B5"/>
    <w:rsid w:val="00E625E4"/>
    <w:rsid w:val="00E664C5"/>
    <w:rsid w:val="00E671A2"/>
    <w:rsid w:val="00E7002F"/>
    <w:rsid w:val="00E73B47"/>
    <w:rsid w:val="00E743EC"/>
    <w:rsid w:val="00E753D6"/>
    <w:rsid w:val="00E759C9"/>
    <w:rsid w:val="00E76D26"/>
    <w:rsid w:val="00E76F1F"/>
    <w:rsid w:val="00E7710D"/>
    <w:rsid w:val="00E77A1A"/>
    <w:rsid w:val="00E80E86"/>
    <w:rsid w:val="00E812C4"/>
    <w:rsid w:val="00E81762"/>
    <w:rsid w:val="00E82878"/>
    <w:rsid w:val="00E834E7"/>
    <w:rsid w:val="00E865DA"/>
    <w:rsid w:val="00E94755"/>
    <w:rsid w:val="00E955A7"/>
    <w:rsid w:val="00E965E6"/>
    <w:rsid w:val="00EA48C4"/>
    <w:rsid w:val="00EB1390"/>
    <w:rsid w:val="00EB18D6"/>
    <w:rsid w:val="00EB2C71"/>
    <w:rsid w:val="00EB2CD9"/>
    <w:rsid w:val="00EB3786"/>
    <w:rsid w:val="00EB4340"/>
    <w:rsid w:val="00EB4C44"/>
    <w:rsid w:val="00EB556D"/>
    <w:rsid w:val="00EB5A7D"/>
    <w:rsid w:val="00EB7EB9"/>
    <w:rsid w:val="00EC1BB7"/>
    <w:rsid w:val="00EC34AB"/>
    <w:rsid w:val="00EC4B13"/>
    <w:rsid w:val="00ED03AF"/>
    <w:rsid w:val="00ED167E"/>
    <w:rsid w:val="00ED428F"/>
    <w:rsid w:val="00ED5235"/>
    <w:rsid w:val="00ED55C0"/>
    <w:rsid w:val="00ED682B"/>
    <w:rsid w:val="00ED7884"/>
    <w:rsid w:val="00ED79C6"/>
    <w:rsid w:val="00EE007C"/>
    <w:rsid w:val="00EE3A29"/>
    <w:rsid w:val="00EE41D5"/>
    <w:rsid w:val="00EE47DF"/>
    <w:rsid w:val="00EE5E4E"/>
    <w:rsid w:val="00EE667D"/>
    <w:rsid w:val="00EE6F82"/>
    <w:rsid w:val="00EE7412"/>
    <w:rsid w:val="00EF2722"/>
    <w:rsid w:val="00EF624D"/>
    <w:rsid w:val="00EF708C"/>
    <w:rsid w:val="00EF7773"/>
    <w:rsid w:val="00F037A4"/>
    <w:rsid w:val="00F047DF"/>
    <w:rsid w:val="00F06D23"/>
    <w:rsid w:val="00F07B0F"/>
    <w:rsid w:val="00F146EA"/>
    <w:rsid w:val="00F15A83"/>
    <w:rsid w:val="00F2039F"/>
    <w:rsid w:val="00F23537"/>
    <w:rsid w:val="00F26183"/>
    <w:rsid w:val="00F279D8"/>
    <w:rsid w:val="00F27C8F"/>
    <w:rsid w:val="00F30429"/>
    <w:rsid w:val="00F32749"/>
    <w:rsid w:val="00F32CC1"/>
    <w:rsid w:val="00F33B13"/>
    <w:rsid w:val="00F359D3"/>
    <w:rsid w:val="00F35DA2"/>
    <w:rsid w:val="00F37172"/>
    <w:rsid w:val="00F41086"/>
    <w:rsid w:val="00F411A7"/>
    <w:rsid w:val="00F41EA2"/>
    <w:rsid w:val="00F445E4"/>
    <w:rsid w:val="00F4477E"/>
    <w:rsid w:val="00F45379"/>
    <w:rsid w:val="00F472DA"/>
    <w:rsid w:val="00F512F0"/>
    <w:rsid w:val="00F519F7"/>
    <w:rsid w:val="00F5239C"/>
    <w:rsid w:val="00F556C5"/>
    <w:rsid w:val="00F55BF2"/>
    <w:rsid w:val="00F56C0F"/>
    <w:rsid w:val="00F570E1"/>
    <w:rsid w:val="00F572BF"/>
    <w:rsid w:val="00F574FE"/>
    <w:rsid w:val="00F6035D"/>
    <w:rsid w:val="00F632A1"/>
    <w:rsid w:val="00F63D50"/>
    <w:rsid w:val="00F66912"/>
    <w:rsid w:val="00F67130"/>
    <w:rsid w:val="00F67D8F"/>
    <w:rsid w:val="00F70435"/>
    <w:rsid w:val="00F75D96"/>
    <w:rsid w:val="00F77302"/>
    <w:rsid w:val="00F802BE"/>
    <w:rsid w:val="00F839E9"/>
    <w:rsid w:val="00F8455B"/>
    <w:rsid w:val="00F86024"/>
    <w:rsid w:val="00F8611A"/>
    <w:rsid w:val="00F93AA8"/>
    <w:rsid w:val="00F9435C"/>
    <w:rsid w:val="00F95E3B"/>
    <w:rsid w:val="00F96458"/>
    <w:rsid w:val="00F9761E"/>
    <w:rsid w:val="00FA1BED"/>
    <w:rsid w:val="00FA2000"/>
    <w:rsid w:val="00FA2857"/>
    <w:rsid w:val="00FA5128"/>
    <w:rsid w:val="00FA70CC"/>
    <w:rsid w:val="00FB3F58"/>
    <w:rsid w:val="00FB42D4"/>
    <w:rsid w:val="00FB4F7E"/>
    <w:rsid w:val="00FB5906"/>
    <w:rsid w:val="00FB762F"/>
    <w:rsid w:val="00FC2AED"/>
    <w:rsid w:val="00FC5522"/>
    <w:rsid w:val="00FC70E3"/>
    <w:rsid w:val="00FD1451"/>
    <w:rsid w:val="00FD24D9"/>
    <w:rsid w:val="00FD5EA7"/>
    <w:rsid w:val="00FD6914"/>
    <w:rsid w:val="00FE0629"/>
    <w:rsid w:val="00FE0831"/>
    <w:rsid w:val="00FE513E"/>
    <w:rsid w:val="00FE53FD"/>
    <w:rsid w:val="00FE76D9"/>
    <w:rsid w:val="00FE7F2E"/>
    <w:rsid w:val="00FF112F"/>
    <w:rsid w:val="00FF42B4"/>
    <w:rsid w:val="00FF56EF"/>
    <w:rsid w:val="00FF5C82"/>
    <w:rsid w:val="00FF67DF"/>
    <w:rsid w:val="00FF7AC0"/>
    <w:rsid w:val="00FF7AF1"/>
    <w:rsid w:val="00FF7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2CDA5-D9CD-421D-8261-7E54847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D139A5"/>
    <w:pPr>
      <w:spacing w:before="120" w:after="120" w:line="288" w:lineRule="auto"/>
    </w:pPr>
    <w:rPr>
      <w:rFonts w:ascii="Fira Sans" w:hAnsi="Fira Sans"/>
      <w:sz w:val="19"/>
    </w:rPr>
  </w:style>
  <w:style w:type="paragraph" w:styleId="Nagwek1">
    <w:name w:val="heading 1"/>
    <w:aliases w:val="tytuł podrozdziału"/>
    <w:basedOn w:val="Normalny"/>
    <w:next w:val="Normalny"/>
    <w:link w:val="Nagwek1Znak"/>
    <w:qFormat/>
    <w:rsid w:val="003B7E49"/>
    <w:pPr>
      <w:keepNext/>
      <w:spacing w:before="36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3B7E49"/>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5A65F8"/>
    <w:pPr>
      <w:spacing w:before="360" w:line="240" w:lineRule="exact"/>
    </w:pPr>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link w:val="tytuinformacjiZnak"/>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link w:val="tekstzbokuZnak"/>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D139A5"/>
    <w:pPr>
      <w:spacing w:before="360" w:line="240" w:lineRule="auto"/>
    </w:pPr>
    <w:rPr>
      <w:b/>
      <w:spacing w:val="-2"/>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635A5D"/>
    <w:rPr>
      <w:color w:val="954F72" w:themeColor="followedHyperlink"/>
      <w:u w:val="single"/>
    </w:rPr>
  </w:style>
  <w:style w:type="character" w:styleId="Odwoaniedokomentarza">
    <w:name w:val="annotation reference"/>
    <w:basedOn w:val="Domylnaczcionkaakapitu"/>
    <w:uiPriority w:val="99"/>
    <w:semiHidden/>
    <w:unhideWhenUsed/>
    <w:rsid w:val="00304F84"/>
    <w:rPr>
      <w:sz w:val="16"/>
      <w:szCs w:val="16"/>
    </w:rPr>
  </w:style>
  <w:style w:type="paragraph" w:styleId="Tekstkomentarza">
    <w:name w:val="annotation text"/>
    <w:basedOn w:val="Normalny"/>
    <w:link w:val="TekstkomentarzaZnak"/>
    <w:uiPriority w:val="99"/>
    <w:semiHidden/>
    <w:unhideWhenUsed/>
    <w:rsid w:val="00304F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F84"/>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304F84"/>
    <w:rPr>
      <w:b/>
      <w:bCs/>
    </w:rPr>
  </w:style>
  <w:style w:type="character" w:customStyle="1" w:styleId="TematkomentarzaZnak">
    <w:name w:val="Temat komentarza Znak"/>
    <w:basedOn w:val="TekstkomentarzaZnak"/>
    <w:link w:val="Tematkomentarza"/>
    <w:uiPriority w:val="99"/>
    <w:semiHidden/>
    <w:rsid w:val="00304F84"/>
    <w:rPr>
      <w:rFonts w:ascii="Fira Sans" w:hAnsi="Fira Sans"/>
      <w:b/>
      <w:bCs/>
      <w:sz w:val="20"/>
      <w:szCs w:val="20"/>
    </w:rPr>
  </w:style>
  <w:style w:type="paragraph" w:customStyle="1" w:styleId="Default">
    <w:name w:val="Default"/>
    <w:rsid w:val="002D5B46"/>
    <w:pPr>
      <w:autoSpaceDE w:val="0"/>
      <w:autoSpaceDN w:val="0"/>
      <w:adjustRightInd w:val="0"/>
      <w:spacing w:after="0" w:line="240" w:lineRule="auto"/>
    </w:pPr>
    <w:rPr>
      <w:rFonts w:ascii="Fira Sans" w:hAnsi="Fira Sans" w:cs="Fira Sans"/>
      <w:color w:val="000000"/>
      <w:sz w:val="24"/>
      <w:szCs w:val="24"/>
    </w:rPr>
  </w:style>
  <w:style w:type="paragraph" w:customStyle="1" w:styleId="Ikonawskanika">
    <w:name w:val="Ikona wskaźnika"/>
    <w:basedOn w:val="Normalny"/>
    <w:link w:val="IkonawskanikaZnak"/>
    <w:qFormat/>
    <w:rsid w:val="00CD758E"/>
    <w:pPr>
      <w:autoSpaceDE w:val="0"/>
      <w:autoSpaceDN w:val="0"/>
      <w:adjustRightInd w:val="0"/>
      <w:spacing w:before="0"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CD758E"/>
    <w:pPr>
      <w:autoSpaceDE w:val="0"/>
      <w:autoSpaceDN w:val="0"/>
      <w:adjustRightInd w:val="0"/>
      <w:spacing w:before="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CD758E"/>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404B6D"/>
    <w:pPr>
      <w:spacing w:before="120"/>
    </w:pPr>
    <w:rPr>
      <w:color w:val="FFFFFF" w:themeColor="background1"/>
    </w:rPr>
  </w:style>
  <w:style w:type="character" w:customStyle="1" w:styleId="WartowskanikaZnak">
    <w:name w:val="Wartość wskaźnika Znak"/>
    <w:basedOn w:val="Domylnaczcionkaakapitu"/>
    <w:link w:val="Wartowskanika"/>
    <w:rsid w:val="00CD758E"/>
    <w:rPr>
      <w:rFonts w:ascii="Fira Sans SemiBold" w:hAnsi="Fira Sans SemiBold"/>
      <w:color w:val="FFFFFF" w:themeColor="background1"/>
      <w:sz w:val="40"/>
      <w:szCs w:val="56"/>
    </w:rPr>
  </w:style>
  <w:style w:type="character" w:customStyle="1" w:styleId="OpiswskanikaZnak">
    <w:name w:val="Opis wskaźnika Znak"/>
    <w:basedOn w:val="Domylnaczcionkaakapitu"/>
    <w:link w:val="Opiswskanika"/>
    <w:rsid w:val="00404B6D"/>
    <w:rPr>
      <w:rFonts w:ascii="Fira Sans" w:hAnsi="Fira Sans"/>
      <w:color w:val="FFFFFF" w:themeColor="background1"/>
      <w:sz w:val="20"/>
    </w:rPr>
  </w:style>
  <w:style w:type="paragraph" w:customStyle="1" w:styleId="tytutablicy">
    <w:name w:val="tytuł tablicy"/>
    <w:basedOn w:val="Normalny"/>
    <w:link w:val="tytutablicyZnak"/>
    <w:qFormat/>
    <w:rsid w:val="00D139A5"/>
    <w:pPr>
      <w:spacing w:before="360" w:line="240" w:lineRule="auto"/>
      <w:jc w:val="both"/>
    </w:pPr>
    <w:rPr>
      <w:rFonts w:cs="Arial"/>
      <w:b/>
      <w:szCs w:val="19"/>
    </w:rPr>
  </w:style>
  <w:style w:type="paragraph" w:customStyle="1" w:styleId="Gwkatablicy">
    <w:name w:val="Główka tablicy"/>
    <w:basedOn w:val="Normalny"/>
    <w:link w:val="GwkatablicyZnak"/>
    <w:qFormat/>
    <w:rsid w:val="00AF54E0"/>
    <w:pPr>
      <w:spacing w:line="240" w:lineRule="exact"/>
      <w:jc w:val="center"/>
    </w:pPr>
    <w:rPr>
      <w:szCs w:val="19"/>
      <w:shd w:val="clear" w:color="auto" w:fill="FFFFFF"/>
    </w:rPr>
  </w:style>
  <w:style w:type="character" w:customStyle="1" w:styleId="tytutablicyZnak">
    <w:name w:val="tytuł tablicy Znak"/>
    <w:basedOn w:val="Domylnaczcionkaakapitu"/>
    <w:link w:val="tytutablicy"/>
    <w:rsid w:val="00D139A5"/>
    <w:rPr>
      <w:rFonts w:ascii="Fira Sans" w:hAnsi="Fira Sans" w:cs="Arial"/>
      <w:b/>
      <w:sz w:val="19"/>
      <w:szCs w:val="19"/>
    </w:rPr>
  </w:style>
  <w:style w:type="paragraph" w:customStyle="1" w:styleId="Boczektabeli">
    <w:name w:val="Boczek tabeli"/>
    <w:basedOn w:val="Normalny"/>
    <w:link w:val="BoczektabeliZnak"/>
    <w:qFormat/>
    <w:rsid w:val="00D95F72"/>
    <w:pPr>
      <w:spacing w:line="240" w:lineRule="exact"/>
    </w:pPr>
    <w:rPr>
      <w:b/>
      <w:szCs w:val="19"/>
      <w:shd w:val="clear" w:color="auto" w:fill="FFFFFF"/>
    </w:rPr>
  </w:style>
  <w:style w:type="character" w:customStyle="1" w:styleId="GwkatablicyZnak">
    <w:name w:val="Główka tablicy Znak"/>
    <w:basedOn w:val="Domylnaczcionkaakapitu"/>
    <w:link w:val="Gwkatablicy"/>
    <w:rsid w:val="00AF54E0"/>
    <w:rPr>
      <w:rFonts w:ascii="Fira Sans" w:hAnsi="Fira Sans"/>
      <w:sz w:val="19"/>
      <w:szCs w:val="19"/>
    </w:rPr>
  </w:style>
  <w:style w:type="paragraph" w:customStyle="1" w:styleId="Boczektabeli2">
    <w:name w:val="Boczek tabeli 2"/>
    <w:basedOn w:val="Normalny"/>
    <w:link w:val="Boczektabeli2Znak"/>
    <w:qFormat/>
    <w:rsid w:val="00D95F72"/>
    <w:pPr>
      <w:spacing w:line="240" w:lineRule="exact"/>
      <w:jc w:val="both"/>
    </w:pPr>
    <w:rPr>
      <w:szCs w:val="19"/>
      <w:shd w:val="clear" w:color="auto" w:fill="FFFFFF"/>
    </w:rPr>
  </w:style>
  <w:style w:type="character" w:customStyle="1" w:styleId="BoczektabeliZnak">
    <w:name w:val="Boczek tabeli Znak"/>
    <w:basedOn w:val="Domylnaczcionkaakapitu"/>
    <w:link w:val="Boczektabeli"/>
    <w:rsid w:val="00D95F72"/>
    <w:rPr>
      <w:rFonts w:ascii="Fira Sans" w:hAnsi="Fira Sans"/>
      <w:b/>
      <w:sz w:val="19"/>
      <w:szCs w:val="19"/>
    </w:rPr>
  </w:style>
  <w:style w:type="paragraph" w:styleId="Tytu">
    <w:name w:val="Title"/>
    <w:basedOn w:val="Normalny"/>
    <w:next w:val="Normalny"/>
    <w:link w:val="TytuZnak"/>
    <w:uiPriority w:val="10"/>
    <w:qFormat/>
    <w:rsid w:val="005A65F8"/>
    <w:pPr>
      <w:spacing w:before="0" w:after="0" w:line="240" w:lineRule="auto"/>
      <w:contextualSpacing/>
    </w:pPr>
    <w:rPr>
      <w:rFonts w:ascii="Fira Sans SemiBold" w:eastAsiaTheme="majorEastAsia" w:hAnsi="Fira Sans SemiBold" w:cstheme="majorBidi"/>
      <w:spacing w:val="-10"/>
      <w:kern w:val="28"/>
      <w:sz w:val="40"/>
      <w:szCs w:val="56"/>
    </w:rPr>
  </w:style>
  <w:style w:type="character" w:customStyle="1" w:styleId="Boczektabeli2Znak">
    <w:name w:val="Boczek tabeli 2 Znak"/>
    <w:basedOn w:val="Domylnaczcionkaakapitu"/>
    <w:link w:val="Boczektabeli2"/>
    <w:rsid w:val="00D95F72"/>
    <w:rPr>
      <w:rFonts w:ascii="Fira Sans" w:hAnsi="Fira Sans"/>
      <w:sz w:val="19"/>
      <w:szCs w:val="19"/>
    </w:rPr>
  </w:style>
  <w:style w:type="character" w:customStyle="1" w:styleId="TytuZnak">
    <w:name w:val="Tytuł Znak"/>
    <w:basedOn w:val="Domylnaczcionkaakapitu"/>
    <w:link w:val="Tytu"/>
    <w:uiPriority w:val="10"/>
    <w:rsid w:val="005A65F8"/>
    <w:rPr>
      <w:rFonts w:ascii="Fira Sans SemiBold" w:eastAsiaTheme="majorEastAsia" w:hAnsi="Fira Sans SemiBold" w:cstheme="majorBidi"/>
      <w:spacing w:val="-10"/>
      <w:kern w:val="28"/>
      <w:sz w:val="40"/>
      <w:szCs w:val="56"/>
    </w:rPr>
  </w:style>
  <w:style w:type="paragraph" w:customStyle="1" w:styleId="Tytuinformacji0">
    <w:name w:val="Tytuł informacji"/>
    <w:basedOn w:val="tytuinformacji"/>
    <w:link w:val="TytuinformacjiZnak0"/>
    <w:qFormat/>
    <w:rsid w:val="005A65F8"/>
    <w:pPr>
      <w:spacing w:after="600"/>
    </w:pPr>
    <w:rPr>
      <w:noProof/>
      <w:lang w:eastAsia="pl-PL"/>
    </w:rPr>
  </w:style>
  <w:style w:type="paragraph" w:customStyle="1" w:styleId="Istotnainformacja">
    <w:name w:val="Istotna informacja"/>
    <w:basedOn w:val="tekstzboku"/>
    <w:link w:val="IstotnainformacjaZnak"/>
    <w:qFormat/>
    <w:rsid w:val="005A65F8"/>
    <w:pPr>
      <w:spacing w:before="0" w:line="240" w:lineRule="exact"/>
    </w:pPr>
  </w:style>
  <w:style w:type="character" w:customStyle="1" w:styleId="tytuinformacjiZnak">
    <w:name w:val="tytuł informacji Znak"/>
    <w:basedOn w:val="Domylnaczcionkaakapitu"/>
    <w:link w:val="tytuinformacji"/>
    <w:rsid w:val="005A65F8"/>
    <w:rPr>
      <w:rFonts w:ascii="Fira Sans Extra Condensed SemiB" w:hAnsi="Fira Sans Extra Condensed SemiB"/>
      <w:color w:val="000000" w:themeColor="text1"/>
      <w:sz w:val="40"/>
      <w:szCs w:val="26"/>
    </w:rPr>
  </w:style>
  <w:style w:type="character" w:customStyle="1" w:styleId="TytuinformacjiZnak0">
    <w:name w:val="Tytuł informacji Znak"/>
    <w:basedOn w:val="tytuinformacjiZnak"/>
    <w:link w:val="Tytuinformacji0"/>
    <w:rsid w:val="005A65F8"/>
    <w:rPr>
      <w:rFonts w:ascii="Fira Sans Extra Condensed SemiB" w:hAnsi="Fira Sans Extra Condensed SemiB"/>
      <w:noProof/>
      <w:color w:val="000000" w:themeColor="text1"/>
      <w:sz w:val="40"/>
      <w:szCs w:val="26"/>
      <w:lang w:eastAsia="pl-PL"/>
    </w:rPr>
  </w:style>
  <w:style w:type="paragraph" w:customStyle="1" w:styleId="Datainformacji">
    <w:name w:val="Data informacji"/>
    <w:basedOn w:val="Normalny"/>
    <w:link w:val="DatainformacjiZnak"/>
    <w:qFormat/>
    <w:rsid w:val="003B7E49"/>
    <w:pPr>
      <w:spacing w:line="240" w:lineRule="exact"/>
    </w:pPr>
    <w:rPr>
      <w:rFonts w:ascii="Fira Sans SemiBold" w:hAnsi="Fira Sans SemiBold"/>
      <w:color w:val="001D77"/>
      <w:sz w:val="20"/>
    </w:rPr>
  </w:style>
  <w:style w:type="character" w:customStyle="1" w:styleId="tekstzbokuZnak">
    <w:name w:val="tekst z boku Znak"/>
    <w:basedOn w:val="Domylnaczcionkaakapitu"/>
    <w:link w:val="tekstzboku"/>
    <w:rsid w:val="005A65F8"/>
    <w:rPr>
      <w:rFonts w:ascii="Fira Sans" w:eastAsia="Times New Roman" w:hAnsi="Fira Sans" w:cs="Times New Roman"/>
      <w:bCs/>
      <w:color w:val="001D77"/>
      <w:sz w:val="18"/>
      <w:szCs w:val="18"/>
      <w:lang w:eastAsia="pl-PL"/>
    </w:rPr>
  </w:style>
  <w:style w:type="character" w:customStyle="1" w:styleId="IstotnainformacjaZnak">
    <w:name w:val="Istotna informacja Znak"/>
    <w:basedOn w:val="tekstzbokuZnak"/>
    <w:link w:val="Istotnainformacja"/>
    <w:rsid w:val="005A65F8"/>
    <w:rPr>
      <w:rFonts w:ascii="Fira Sans" w:eastAsia="Times New Roman" w:hAnsi="Fira Sans" w:cs="Times New Roman"/>
      <w:bCs/>
      <w:color w:val="001D77"/>
      <w:sz w:val="18"/>
      <w:szCs w:val="18"/>
      <w:lang w:eastAsia="pl-PL"/>
    </w:rPr>
  </w:style>
  <w:style w:type="paragraph" w:customStyle="1" w:styleId="Przypis">
    <w:name w:val="Przypis"/>
    <w:basedOn w:val="Normalny"/>
    <w:link w:val="PrzypisZnak"/>
    <w:qFormat/>
    <w:rsid w:val="003B7E49"/>
    <w:pPr>
      <w:spacing w:after="0" w:line="240" w:lineRule="auto"/>
    </w:pPr>
    <w:rPr>
      <w:szCs w:val="19"/>
    </w:rPr>
  </w:style>
  <w:style w:type="character" w:customStyle="1" w:styleId="DatainformacjiZnak">
    <w:name w:val="Data informacji Znak"/>
    <w:basedOn w:val="Domylnaczcionkaakapitu"/>
    <w:link w:val="Datainformacji"/>
    <w:rsid w:val="003B7E49"/>
    <w:rPr>
      <w:rFonts w:ascii="Fira Sans SemiBold" w:hAnsi="Fira Sans SemiBold"/>
      <w:color w:val="001D77"/>
      <w:sz w:val="20"/>
    </w:rPr>
  </w:style>
  <w:style w:type="paragraph" w:styleId="Podtytu">
    <w:name w:val="Subtitle"/>
    <w:basedOn w:val="Normalny"/>
    <w:next w:val="Normalny"/>
    <w:link w:val="PodtytuZnak"/>
    <w:uiPriority w:val="11"/>
    <w:qFormat/>
    <w:rsid w:val="003B7E49"/>
    <w:pPr>
      <w:numPr>
        <w:ilvl w:val="1"/>
      </w:numPr>
      <w:spacing w:before="360" w:line="240" w:lineRule="auto"/>
    </w:pPr>
    <w:rPr>
      <w:rFonts w:asciiTheme="minorHAnsi" w:eastAsiaTheme="minorEastAsia" w:hAnsiTheme="minorHAnsi"/>
      <w:color w:val="5A5A5A" w:themeColor="text1" w:themeTint="A5"/>
      <w:spacing w:val="15"/>
      <w:sz w:val="22"/>
    </w:rPr>
  </w:style>
  <w:style w:type="character" w:customStyle="1" w:styleId="PrzypisZnak">
    <w:name w:val="Przypis Znak"/>
    <w:basedOn w:val="Domylnaczcionkaakapitu"/>
    <w:link w:val="Przypis"/>
    <w:rsid w:val="003B7E49"/>
    <w:rPr>
      <w:rFonts w:ascii="Fira Sans" w:hAnsi="Fira Sans"/>
      <w:sz w:val="19"/>
      <w:szCs w:val="19"/>
    </w:rPr>
  </w:style>
  <w:style w:type="character" w:customStyle="1" w:styleId="PodtytuZnak">
    <w:name w:val="Podtytuł Znak"/>
    <w:basedOn w:val="Domylnaczcionkaakapitu"/>
    <w:link w:val="Podtytu"/>
    <w:uiPriority w:val="11"/>
    <w:rsid w:val="003B7E49"/>
    <w:rPr>
      <w:rFonts w:eastAsiaTheme="minorEastAsia"/>
      <w:color w:val="5A5A5A" w:themeColor="text1" w:themeTint="A5"/>
      <w:spacing w:val="15"/>
    </w:rPr>
  </w:style>
  <w:style w:type="paragraph" w:styleId="Poprawka">
    <w:name w:val="Revision"/>
    <w:hidden/>
    <w:uiPriority w:val="99"/>
    <w:semiHidden/>
    <w:rsid w:val="004961CE"/>
    <w:pPr>
      <w:spacing w:after="0" w:line="240" w:lineRule="auto"/>
    </w:pPr>
    <w:rPr>
      <w:rFonts w:ascii="Fira Sans" w:hAnsi="Fira San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arszawa.stat.gov.pl/" TargetMode="External"/><Relationship Id="rId39" Type="http://schemas.openxmlformats.org/officeDocument/2006/relationships/hyperlink" Target="https://stat.gov.pl/en/topics/labour-market/working-unemployed-economically-inactive-by-lfs/employed-unemployed-and-economically-inactive-persons-preliminary-lfs-results-in-the-fourth-quarter-of-2021,8,42.html" TargetMode="External"/><Relationship Id="rId21" Type="http://schemas.openxmlformats.org/officeDocument/2006/relationships/footer" Target="footer1.xml"/><Relationship Id="rId34" Type="http://schemas.openxmlformats.org/officeDocument/2006/relationships/hyperlink" Target="https://www.youtube.com/channel/UC0wiQMElFgYszpAoYgTnXtg/featured"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gov.pl/en/topics/labour-market/working-unemployed-economically-inactive-by-lfs/information-of-the-statistics-poland-regarding-the-changes-introduced-from-2021-onwards-into-the-bael,22,1.html" TargetMode="External"/><Relationship Id="rId24" Type="http://schemas.openxmlformats.org/officeDocument/2006/relationships/hyperlink" Target="mailto:m.kaluski@stat.gov.pl"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hyperlink" Target="https://stat.gov.pl/obszary-tematyczne/rynek-pracy/pracujacy-bezrobotni-bierni-zawodowo-wg-bael/aktywnosc-ekonomiczna-ludnosci-polski-iv-kwartal-2021-roku,4,45.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hyperlink" Target="https://twitter.com/Warszawa_STAT" TargetMode="External"/><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instagram.com/gus_sta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image" Target="media/image13.png"/><Relationship Id="rId30" Type="http://schemas.openxmlformats.org/officeDocument/2006/relationships/hyperlink" Target="https://www.facebook.com/UrzadStatystycznywWarszawie" TargetMode="External"/><Relationship Id="rId35" Type="http://schemas.openxmlformats.org/officeDocument/2006/relationships/hyperlink" Target="https://www.linkedin.com/company/glownyurzadstatystyczny"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tat.gov.pl/files/gfx/portalinformacyjny/pl/defaultaktualnosci/5475/4/45/1/aktywnosc_ekonomiczna_4_kw_2021.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hyperlink" Target="https://stat.gov.pl/obszary-tematyczne/rynek-pracy/pracujacy-bezrobotni-bierni-zawodowo-wg-bael/aktywnosc-ekonomiczna-ludnosci-polski-iv-kwartal-2021-roku,4,45.html" TargetMode="External"/><Relationship Id="rId20" Type="http://schemas.openxmlformats.org/officeDocument/2006/relationships/header" Target="header1.xml"/><Relationship Id="rId41" Type="http://schemas.openxmlformats.org/officeDocument/2006/relationships/hyperlink" Target="https://stat.gov.pl/en/topics/labour-market/working-unemployed-economically-inactive-by-lfs/employed-unemployed-and-economically-inactive-persons-preliminary-lfs-results-in-the-fourth-quarter-of-2021,8,4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50F9-42FE-4E0A-83C4-93BD4F8EEA54}">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42D8543-517B-422F-8E0D-49E157D7DA6F}">
  <ds:schemaRefs>
    <ds:schemaRef ds:uri="http://schemas.microsoft.com/sharepoint/v3/contenttype/forms"/>
  </ds:schemaRefs>
</ds:datastoreItem>
</file>

<file path=customXml/itemProps3.xml><?xml version="1.0" encoding="utf-8"?>
<ds:datastoreItem xmlns:ds="http://schemas.openxmlformats.org/officeDocument/2006/customXml" ds:itemID="{317B68D2-035B-43D5-90AA-19B46C5C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D1D598-67A4-40EE-8B0A-B9CD97AD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2095</Words>
  <Characters>12571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Zawistowska Beata</dc:creator>
  <cp:keywords/>
  <dc:description/>
  <cp:lastModifiedBy>Cacko Anna</cp:lastModifiedBy>
  <cp:revision>3</cp:revision>
  <cp:lastPrinted>2022-06-14T11:43:00Z</cp:lastPrinted>
  <dcterms:created xsi:type="dcterms:W3CDTF">2022-07-19T10:10:00Z</dcterms:created>
  <dcterms:modified xsi:type="dcterms:W3CDTF">2022-07-19T10:12:00Z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